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1F6F" w:rsidRDefault="00023BC7">
      <w:pPr>
        <w:spacing w:after="60"/>
        <w:ind w:left="1555" w:hanging="1555"/>
        <w:jc w:val="left"/>
        <w:rPr>
          <w:rFonts w:asciiTheme="minorHAnsi" w:hAnsiTheme="minorHAnsi" w:cstheme="minorHAnsi"/>
          <w:b/>
        </w:rPr>
      </w:pPr>
      <w:r>
        <w:rPr>
          <w:rFonts w:asciiTheme="minorHAnsi" w:hAnsiTheme="minorHAnsi" w:cstheme="minorHAnsi"/>
          <w:b/>
        </w:rPr>
        <w:t>3GPP TSG RAN WG1 Meeting #100</w:t>
      </w:r>
      <w:r w:rsidR="00B13DFB">
        <w:rPr>
          <w:rFonts w:asciiTheme="minorHAnsi" w:hAnsiTheme="minorHAnsi" w:cstheme="minorHAnsi"/>
          <w:b/>
        </w:rPr>
        <w:t>b</w:t>
      </w:r>
      <w:r>
        <w:rPr>
          <w:rFonts w:asciiTheme="minorHAnsi" w:hAnsiTheme="minorHAnsi" w:cstheme="minorHAnsi"/>
          <w:b/>
        </w:rPr>
        <w:t>-e</w:t>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t xml:space="preserve"> </w:t>
      </w:r>
      <w:r>
        <w:rPr>
          <w:rFonts w:asciiTheme="minorHAnsi" w:hAnsiTheme="minorHAnsi" w:cstheme="minorHAnsi"/>
          <w:b/>
        </w:rPr>
        <w:t>R1-200</w:t>
      </w:r>
      <w:r w:rsidR="008A7B5C">
        <w:rPr>
          <w:rFonts w:asciiTheme="minorHAnsi" w:hAnsiTheme="minorHAnsi" w:cstheme="minorHAnsi"/>
          <w:b/>
        </w:rPr>
        <w:t>1963</w:t>
      </w:r>
    </w:p>
    <w:p w:rsidR="00B13DFB" w:rsidRDefault="00B13DFB" w:rsidP="00B13DFB">
      <w:pPr>
        <w:jc w:val="left"/>
        <w:rPr>
          <w:rFonts w:asciiTheme="minorHAnsi" w:hAnsiTheme="minorHAnsi" w:cstheme="minorHAnsi"/>
          <w:b/>
          <w:kern w:val="2"/>
          <w:lang w:eastAsia="zh-CN"/>
        </w:rPr>
      </w:pPr>
      <w:r>
        <w:rPr>
          <w:rFonts w:asciiTheme="minorHAnsi" w:hAnsiTheme="minorHAnsi" w:cstheme="minorHAnsi"/>
          <w:b/>
          <w:kern w:val="2"/>
          <w:lang w:eastAsia="zh-CN"/>
        </w:rPr>
        <w:t>E-Meeting April 20 – 30, 2020</w:t>
      </w:r>
    </w:p>
    <w:p w:rsidR="00631F6F" w:rsidRDefault="00631F6F">
      <w:pPr>
        <w:pBdr>
          <w:top w:val="single" w:sz="4" w:space="1" w:color="000000"/>
        </w:pBdr>
        <w:spacing w:after="0"/>
        <w:jc w:val="left"/>
        <w:rPr>
          <w:rFonts w:asciiTheme="minorHAnsi" w:hAnsiTheme="minorHAnsi" w:cstheme="minorHAnsi"/>
          <w:b/>
          <w:kern w:val="2"/>
          <w:sz w:val="16"/>
          <w:szCs w:val="16"/>
          <w:lang w:eastAsia="zh-CN"/>
        </w:rPr>
      </w:pPr>
    </w:p>
    <w:p w:rsidR="00631F6F" w:rsidRDefault="00023BC7">
      <w:pPr>
        <w:spacing w:after="60"/>
        <w:ind w:left="1555" w:hanging="1555"/>
        <w:jc w:val="left"/>
        <w:rPr>
          <w:rFonts w:asciiTheme="minorHAnsi" w:hAnsiTheme="minorHAnsi" w:cstheme="minorHAnsi"/>
          <w:b/>
          <w:kern w:val="2"/>
          <w:lang w:eastAsia="zh-CN"/>
        </w:rPr>
      </w:pPr>
      <w:r>
        <w:rPr>
          <w:rFonts w:asciiTheme="minorHAnsi" w:hAnsiTheme="minorHAnsi" w:cstheme="minorHAnsi"/>
          <w:b/>
          <w:kern w:val="2"/>
          <w:lang w:eastAsia="zh-CN"/>
        </w:rPr>
        <w:t>Agenda Item:</w:t>
      </w:r>
      <w:r>
        <w:rPr>
          <w:rFonts w:asciiTheme="minorHAnsi" w:hAnsiTheme="minorHAnsi" w:cstheme="minorHAnsi"/>
          <w:b/>
          <w:kern w:val="2"/>
          <w:lang w:eastAsia="zh-CN"/>
        </w:rPr>
        <w:tab/>
        <w:t>7.2.4.2.1</w:t>
      </w:r>
    </w:p>
    <w:p w:rsidR="00631F6F" w:rsidRDefault="00023BC7">
      <w:pPr>
        <w:spacing w:after="60"/>
        <w:ind w:left="1555" w:hanging="1555"/>
        <w:jc w:val="left"/>
        <w:rPr>
          <w:rFonts w:asciiTheme="minorHAnsi" w:hAnsiTheme="minorHAnsi" w:cstheme="minorHAnsi"/>
          <w:b/>
          <w:kern w:val="2"/>
          <w:lang w:eastAsia="zh-CN"/>
        </w:rPr>
      </w:pPr>
      <w:r>
        <w:rPr>
          <w:rFonts w:asciiTheme="minorHAnsi" w:hAnsiTheme="minorHAnsi" w:cstheme="minorHAnsi"/>
          <w:b/>
          <w:kern w:val="2"/>
          <w:lang w:eastAsia="zh-CN"/>
        </w:rPr>
        <w:t>Source:</w:t>
      </w:r>
      <w:r>
        <w:rPr>
          <w:rFonts w:asciiTheme="minorHAnsi" w:hAnsiTheme="minorHAnsi" w:cstheme="minorHAnsi"/>
          <w:b/>
          <w:kern w:val="2"/>
          <w:lang w:eastAsia="zh-CN"/>
        </w:rPr>
        <w:tab/>
      </w:r>
      <w:r>
        <w:rPr>
          <w:rFonts w:asciiTheme="minorHAnsi" w:hAnsiTheme="minorHAnsi" w:cstheme="minorHAnsi"/>
          <w:b/>
        </w:rPr>
        <w:t>TCL Communication</w:t>
      </w:r>
    </w:p>
    <w:p w:rsidR="00631F6F" w:rsidRDefault="00023BC7">
      <w:pPr>
        <w:spacing w:after="60"/>
        <w:ind w:left="1555" w:hanging="1555"/>
        <w:jc w:val="left"/>
        <w:rPr>
          <w:rFonts w:asciiTheme="minorHAnsi" w:hAnsiTheme="minorHAnsi" w:cstheme="minorHAnsi"/>
          <w:b/>
          <w:kern w:val="2"/>
          <w:lang w:eastAsia="zh-CN"/>
        </w:rPr>
      </w:pPr>
      <w:r>
        <w:rPr>
          <w:rFonts w:asciiTheme="minorHAnsi" w:hAnsiTheme="minorHAnsi" w:cstheme="minorHAnsi"/>
          <w:b/>
          <w:kern w:val="2"/>
          <w:lang w:eastAsia="zh-CN"/>
        </w:rPr>
        <w:t>Title:</w:t>
      </w:r>
      <w:r>
        <w:rPr>
          <w:rFonts w:asciiTheme="minorHAnsi" w:hAnsiTheme="minorHAnsi" w:cstheme="minorHAnsi"/>
          <w:b/>
          <w:kern w:val="2"/>
          <w:lang w:eastAsia="zh-CN"/>
        </w:rPr>
        <w:tab/>
        <w:t>Resource allocation for NR sidelink Mode 1</w:t>
      </w:r>
    </w:p>
    <w:p w:rsidR="00631F6F" w:rsidRDefault="00023BC7">
      <w:pPr>
        <w:spacing w:after="60"/>
        <w:ind w:left="1555" w:hanging="1555"/>
        <w:jc w:val="left"/>
        <w:rPr>
          <w:rFonts w:asciiTheme="minorHAnsi" w:hAnsiTheme="minorHAnsi" w:cstheme="minorHAnsi"/>
          <w:b/>
          <w:kern w:val="2"/>
          <w:lang w:eastAsia="zh-CN"/>
        </w:rPr>
      </w:pPr>
      <w:r>
        <w:rPr>
          <w:rFonts w:asciiTheme="minorHAnsi" w:hAnsiTheme="minorHAnsi" w:cstheme="minorHAnsi"/>
          <w:b/>
          <w:kern w:val="2"/>
          <w:lang w:eastAsia="zh-CN"/>
        </w:rPr>
        <w:t>Document for:</w:t>
      </w:r>
      <w:r>
        <w:rPr>
          <w:rFonts w:asciiTheme="minorHAnsi" w:hAnsiTheme="minorHAnsi" w:cstheme="minorHAnsi"/>
          <w:b/>
          <w:kern w:val="2"/>
          <w:lang w:eastAsia="zh-CN"/>
        </w:rPr>
        <w:tab/>
        <w:t xml:space="preserve">Discussion and decision  </w:t>
      </w:r>
    </w:p>
    <w:p w:rsidR="00631F6F" w:rsidRDefault="00631F6F">
      <w:pPr>
        <w:pBdr>
          <w:bottom w:val="single" w:sz="4" w:space="1" w:color="000000"/>
        </w:pBdr>
        <w:spacing w:after="0"/>
        <w:jc w:val="left"/>
        <w:rPr>
          <w:rFonts w:asciiTheme="minorHAnsi" w:hAnsiTheme="minorHAnsi" w:cstheme="minorHAnsi"/>
          <w:b/>
          <w:kern w:val="2"/>
          <w:sz w:val="16"/>
          <w:szCs w:val="16"/>
          <w:lang w:eastAsia="zh-CN"/>
        </w:rPr>
      </w:pPr>
    </w:p>
    <w:p w:rsidR="00631F6F" w:rsidRDefault="00023BC7">
      <w:pPr>
        <w:pStyle w:val="Heading1"/>
        <w:numPr>
          <w:ilvl w:val="0"/>
          <w:numId w:val="3"/>
        </w:numPr>
        <w:rPr>
          <w:rFonts w:asciiTheme="minorHAnsi" w:hAnsiTheme="minorHAnsi" w:cstheme="minorHAnsi"/>
        </w:rPr>
      </w:pPr>
      <w:bookmarkStart w:id="0" w:name="_Ref129681862"/>
      <w:bookmarkStart w:id="1" w:name="_Ref124589705"/>
      <w:r>
        <w:rPr>
          <w:rFonts w:asciiTheme="minorHAnsi" w:hAnsiTheme="minorHAnsi" w:cstheme="minorHAnsi"/>
        </w:rPr>
        <w:t>In</w:t>
      </w:r>
      <w:bookmarkEnd w:id="0"/>
      <w:bookmarkEnd w:id="1"/>
      <w:r>
        <w:rPr>
          <w:rFonts w:asciiTheme="minorHAnsi" w:hAnsiTheme="minorHAnsi" w:cstheme="minorHAnsi"/>
        </w:rPr>
        <w:t>troduction</w:t>
      </w:r>
    </w:p>
    <w:p w:rsidR="00631F6F" w:rsidRDefault="00023BC7">
      <w:pPr>
        <w:rPr>
          <w:rFonts w:asciiTheme="minorHAnsi" w:hAnsiTheme="minorHAnsi" w:cstheme="minorHAnsi"/>
        </w:rPr>
      </w:pPr>
      <w:r>
        <w:rPr>
          <w:rFonts w:asciiTheme="minorHAnsi" w:hAnsiTheme="minorHAnsi" w:cstheme="minorHAnsi"/>
        </w:rPr>
        <w:t>This document discusses the design of resource allocation for NR sidelink Mode 1.</w:t>
      </w:r>
    </w:p>
    <w:p w:rsidR="00631F6F" w:rsidRDefault="00023BC7">
      <w:pPr>
        <w:rPr>
          <w:rFonts w:asciiTheme="minorHAnsi" w:hAnsiTheme="minorHAnsi" w:cstheme="minorHAnsi"/>
        </w:rPr>
      </w:pPr>
      <w:r>
        <w:rPr>
          <w:rFonts w:asciiTheme="minorHAnsi" w:hAnsiTheme="minorHAnsi" w:cstheme="minorHAnsi"/>
        </w:rPr>
        <w:t>The important agreements from the previous 3GPP meeting ([2], [3], [4], [6], [8], [10], [11], [12], [13]), respective CRs captured in TS38.212to specifications [14], are noted down in the relevant sub-items before presenting our views and proposals in those topics</w:t>
      </w:r>
    </w:p>
    <w:p w:rsidR="00631F6F" w:rsidRDefault="00631F6F">
      <w:pPr>
        <w:rPr>
          <w:rFonts w:asciiTheme="minorHAnsi" w:hAnsiTheme="minorHAnsi" w:cstheme="minorHAnsi"/>
        </w:rPr>
      </w:pPr>
    </w:p>
    <w:p w:rsidR="00631F6F" w:rsidRDefault="00023BC7">
      <w:pPr>
        <w:pStyle w:val="Heading1"/>
        <w:numPr>
          <w:ilvl w:val="0"/>
          <w:numId w:val="3"/>
        </w:numPr>
        <w:rPr>
          <w:rFonts w:asciiTheme="minorHAnsi" w:hAnsiTheme="minorHAnsi" w:cstheme="minorHAnsi"/>
        </w:rPr>
      </w:pPr>
      <w:r>
        <w:rPr>
          <w:rFonts w:asciiTheme="minorHAnsi" w:hAnsiTheme="minorHAnsi" w:cstheme="minorHAnsi"/>
        </w:rPr>
        <w:t>RAN1 &amp; RAN2 agreements and TR38.885 scope</w:t>
      </w:r>
    </w:p>
    <w:p w:rsidR="00631F6F" w:rsidRDefault="00023BC7">
      <w:pPr>
        <w:rPr>
          <w:rFonts w:asciiTheme="minorHAnsi" w:hAnsiTheme="minorHAnsi" w:cstheme="minorHAnsi"/>
          <w:b/>
          <w:u w:val="single"/>
          <w:lang w:val="en-GB" w:eastAsia="zh-CN"/>
        </w:rPr>
      </w:pPr>
      <w:r>
        <w:rPr>
          <w:rFonts w:asciiTheme="minorHAnsi" w:hAnsiTheme="minorHAnsi" w:cstheme="minorHAnsi"/>
          <w:b/>
          <w:u w:val="single"/>
          <w:lang w:val="en-GB" w:eastAsia="zh-CN"/>
        </w:rPr>
        <w:t>RAN1 agreements</w:t>
      </w:r>
    </w:p>
    <w:p w:rsidR="00631F6F" w:rsidRDefault="00023BC7">
      <w:pPr>
        <w:rPr>
          <w:rFonts w:asciiTheme="minorHAnsi" w:hAnsiTheme="minorHAnsi" w:cstheme="minorHAnsi"/>
          <w:i/>
          <w:sz w:val="20"/>
        </w:rPr>
      </w:pPr>
      <w:r>
        <w:rPr>
          <w:rFonts w:asciiTheme="minorHAnsi" w:hAnsiTheme="minorHAnsi" w:cstheme="minorHAnsi"/>
          <w:i/>
          <w:sz w:val="20"/>
        </w:rPr>
        <w:t>In RAN1 AdHoc #1901, it was agreed that:</w:t>
      </w:r>
    </w:p>
    <w:p w:rsidR="00631F6F" w:rsidRDefault="00023BC7">
      <w:pPr>
        <w:pStyle w:val="ListParagraph"/>
        <w:numPr>
          <w:ilvl w:val="0"/>
          <w:numId w:val="4"/>
        </w:numPr>
        <w:snapToGrid/>
        <w:spacing w:after="160" w:line="259" w:lineRule="auto"/>
        <w:contextualSpacing/>
        <w:jc w:val="left"/>
        <w:rPr>
          <w:rFonts w:asciiTheme="minorHAnsi" w:hAnsiTheme="minorHAnsi" w:cstheme="minorHAnsi"/>
          <w:i/>
          <w:sz w:val="20"/>
        </w:rPr>
      </w:pPr>
      <w:r>
        <w:rPr>
          <w:rFonts w:asciiTheme="minorHAnsi" w:hAnsiTheme="minorHAnsi" w:cstheme="minorHAnsi"/>
          <w:i/>
          <w:sz w:val="20"/>
        </w:rPr>
        <w:t>When NR Uu schedules NR SL mode 1, both type 1 and type 2 configured grants are supported for NR SL</w:t>
      </w:r>
    </w:p>
    <w:p w:rsidR="00631F6F" w:rsidRDefault="00631F6F">
      <w:pPr>
        <w:rPr>
          <w:rFonts w:asciiTheme="minorHAnsi" w:hAnsiTheme="minorHAnsi" w:cstheme="minorHAnsi"/>
          <w:sz w:val="20"/>
        </w:rPr>
      </w:pPr>
    </w:p>
    <w:p w:rsidR="00631F6F" w:rsidRDefault="00023BC7">
      <w:pPr>
        <w:rPr>
          <w:rFonts w:asciiTheme="minorHAnsi" w:hAnsiTheme="minorHAnsi" w:cstheme="minorHAnsi"/>
          <w:i/>
          <w:sz w:val="20"/>
        </w:rPr>
      </w:pPr>
      <w:r>
        <w:rPr>
          <w:rFonts w:asciiTheme="minorHAnsi" w:hAnsiTheme="minorHAnsi" w:cstheme="minorHAnsi"/>
          <w:i/>
          <w:sz w:val="20"/>
        </w:rPr>
        <w:t>In RAN1 #96b</w:t>
      </w:r>
    </w:p>
    <w:p w:rsidR="00631F6F" w:rsidRDefault="00023BC7">
      <w:pPr>
        <w:rPr>
          <w:szCs w:val="20"/>
        </w:rPr>
      </w:pPr>
      <w:r>
        <w:rPr>
          <w:szCs w:val="20"/>
        </w:rPr>
        <w:t>Agreements:</w:t>
      </w:r>
    </w:p>
    <w:p w:rsidR="00631F6F" w:rsidRDefault="00023BC7">
      <w:pPr>
        <w:pStyle w:val="ListParagraph"/>
        <w:numPr>
          <w:ilvl w:val="0"/>
          <w:numId w:val="5"/>
        </w:numPr>
        <w:snapToGrid/>
        <w:spacing w:after="0"/>
        <w:jc w:val="left"/>
        <w:rPr>
          <w:rFonts w:asciiTheme="minorHAnsi" w:hAnsiTheme="minorHAnsi" w:cstheme="minorHAnsi"/>
          <w:i/>
          <w:sz w:val="20"/>
          <w:szCs w:val="20"/>
          <w:lang w:eastAsia="ja-JP"/>
        </w:rPr>
      </w:pPr>
      <w:r>
        <w:rPr>
          <w:rFonts w:asciiTheme="minorHAnsi" w:hAnsiTheme="minorHAnsi" w:cstheme="minorHAnsi"/>
          <w:i/>
          <w:sz w:val="20"/>
          <w:szCs w:val="20"/>
          <w:lang w:eastAsia="ja-JP"/>
        </w:rPr>
        <w:t>A dynamic grant provides resources for one or multiple sidelink transmissions of a single TB.</w:t>
      </w:r>
    </w:p>
    <w:p w:rsidR="00631F6F" w:rsidRDefault="00023BC7">
      <w:pPr>
        <w:pStyle w:val="ListParagraph"/>
        <w:numPr>
          <w:ilvl w:val="0"/>
          <w:numId w:val="5"/>
        </w:numPr>
        <w:snapToGrid/>
        <w:spacing w:after="0"/>
        <w:jc w:val="left"/>
        <w:rPr>
          <w:rFonts w:asciiTheme="minorHAnsi" w:hAnsiTheme="minorHAnsi" w:cstheme="minorHAnsi"/>
          <w:i/>
          <w:sz w:val="20"/>
          <w:szCs w:val="20"/>
          <w:lang w:eastAsia="ja-JP"/>
        </w:rPr>
      </w:pPr>
      <w:r>
        <w:rPr>
          <w:rFonts w:asciiTheme="minorHAnsi" w:hAnsiTheme="minorHAnsi" w:cstheme="minorHAnsi"/>
          <w:i/>
          <w:sz w:val="20"/>
          <w:szCs w:val="20"/>
          <w:lang w:eastAsia="ja-JP"/>
        </w:rPr>
        <w:t>A configured grant (type-1, type-2) provides a set of resources in a periodic manner for multiple sidelink transmissions.</w:t>
      </w:r>
    </w:p>
    <w:p w:rsidR="00631F6F" w:rsidRDefault="00023BC7">
      <w:pPr>
        <w:pStyle w:val="ListParagraph"/>
        <w:numPr>
          <w:ilvl w:val="1"/>
          <w:numId w:val="5"/>
        </w:numPr>
        <w:snapToGrid/>
        <w:spacing w:after="0"/>
        <w:jc w:val="left"/>
        <w:rPr>
          <w:rFonts w:asciiTheme="minorHAnsi" w:hAnsiTheme="minorHAnsi" w:cstheme="minorHAnsi"/>
          <w:i/>
          <w:sz w:val="20"/>
          <w:szCs w:val="20"/>
          <w:lang w:eastAsia="ja-JP"/>
        </w:rPr>
      </w:pPr>
      <w:r>
        <w:rPr>
          <w:rFonts w:asciiTheme="minorHAnsi" w:hAnsiTheme="minorHAnsi" w:cstheme="minorHAnsi"/>
          <w:i/>
          <w:sz w:val="20"/>
          <w:szCs w:val="20"/>
          <w:lang w:eastAsia="ja-JP"/>
        </w:rPr>
        <w:t>UE decides which TB to transmit in each of the occasions indicated by a given configured grant.</w:t>
      </w:r>
    </w:p>
    <w:p w:rsidR="00631F6F" w:rsidRDefault="00023BC7">
      <w:pPr>
        <w:pStyle w:val="ListParagraph"/>
        <w:numPr>
          <w:ilvl w:val="1"/>
          <w:numId w:val="5"/>
        </w:numPr>
        <w:snapToGrid/>
        <w:spacing w:after="0"/>
        <w:jc w:val="left"/>
        <w:rPr>
          <w:rFonts w:asciiTheme="minorHAnsi" w:hAnsiTheme="minorHAnsi" w:cstheme="minorHAnsi"/>
          <w:i/>
          <w:sz w:val="20"/>
          <w:szCs w:val="20"/>
          <w:lang w:eastAsia="ja-JP"/>
        </w:rPr>
      </w:pPr>
      <w:r>
        <w:rPr>
          <w:rFonts w:asciiTheme="minorHAnsi" w:hAnsiTheme="minorHAnsi" w:cstheme="minorHAnsi"/>
          <w:i/>
          <w:sz w:val="20"/>
          <w:szCs w:val="20"/>
          <w:lang w:eastAsia="ja-JP"/>
        </w:rPr>
        <w:t>FFS: whether different transmissions of a TB can take place across multiple configured grants.</w:t>
      </w:r>
    </w:p>
    <w:p w:rsidR="00631F6F" w:rsidRDefault="00023BC7">
      <w:pPr>
        <w:pStyle w:val="ListParagraph"/>
        <w:numPr>
          <w:ilvl w:val="1"/>
          <w:numId w:val="5"/>
        </w:numPr>
        <w:snapToGrid/>
        <w:spacing w:after="0"/>
        <w:jc w:val="left"/>
        <w:rPr>
          <w:rFonts w:asciiTheme="minorHAnsi" w:hAnsiTheme="minorHAnsi" w:cstheme="minorHAnsi"/>
          <w:i/>
          <w:sz w:val="20"/>
          <w:szCs w:val="20"/>
          <w:lang w:eastAsia="ja-JP"/>
        </w:rPr>
      </w:pPr>
      <w:r>
        <w:rPr>
          <w:rFonts w:asciiTheme="minorHAnsi" w:hAnsiTheme="minorHAnsi" w:cstheme="minorHAnsi"/>
          <w:i/>
          <w:sz w:val="20"/>
          <w:szCs w:val="20"/>
          <w:lang w:eastAsia="ja-JP"/>
        </w:rPr>
        <w:t>Other restrictions on what can be transmitted in a given configured grant (e.g., based on QoS, destination UE, etc.) are up to RAN2.</w:t>
      </w:r>
    </w:p>
    <w:p w:rsidR="00631F6F" w:rsidRDefault="00631F6F">
      <w:pPr>
        <w:rPr>
          <w:rFonts w:asciiTheme="minorHAnsi" w:hAnsiTheme="minorHAnsi" w:cstheme="minorHAnsi"/>
        </w:rPr>
      </w:pPr>
    </w:p>
    <w:p w:rsidR="00631F6F" w:rsidRDefault="00023BC7">
      <w:pPr>
        <w:rPr>
          <w:szCs w:val="20"/>
        </w:rPr>
      </w:pPr>
      <w:r>
        <w:rPr>
          <w:szCs w:val="20"/>
        </w:rPr>
        <w:t>Agreements:</w:t>
      </w:r>
    </w:p>
    <w:p w:rsidR="00631F6F" w:rsidRDefault="00023BC7">
      <w:pPr>
        <w:pStyle w:val="Heading2"/>
        <w:numPr>
          <w:ilvl w:val="0"/>
          <w:numId w:val="0"/>
        </w:numPr>
        <w:ind w:firstLine="425"/>
        <w:rPr>
          <w:rFonts w:asciiTheme="minorHAnsi" w:hAnsiTheme="minorHAnsi" w:cstheme="minorHAnsi"/>
          <w:b w:val="0"/>
          <w:bCs w:val="0"/>
          <w:i/>
          <w:iCs/>
          <w:sz w:val="20"/>
          <w:szCs w:val="20"/>
        </w:rPr>
      </w:pPr>
      <w:r>
        <w:rPr>
          <w:rFonts w:asciiTheme="minorHAnsi" w:hAnsiTheme="minorHAnsi" w:cstheme="minorHAnsi"/>
          <w:b w:val="0"/>
          <w:bCs w:val="0"/>
          <w:i/>
          <w:iCs/>
          <w:sz w:val="20"/>
          <w:szCs w:val="20"/>
        </w:rPr>
        <w:t>7.2.4.6 QoS management for sidelink</w:t>
      </w:r>
    </w:p>
    <w:p w:rsidR="00631F6F" w:rsidRDefault="00023BC7">
      <w:pPr>
        <w:ind w:firstLine="360"/>
        <w:rPr>
          <w:rFonts w:asciiTheme="minorHAnsi" w:hAnsiTheme="minorHAnsi" w:cstheme="minorHAnsi"/>
          <w:i/>
          <w:iCs/>
          <w:sz w:val="20"/>
          <w:szCs w:val="20"/>
        </w:rPr>
      </w:pPr>
      <w:r>
        <w:rPr>
          <w:rFonts w:asciiTheme="minorHAnsi" w:hAnsiTheme="minorHAnsi" w:cstheme="minorHAnsi"/>
          <w:i/>
          <w:iCs/>
          <w:sz w:val="20"/>
          <w:szCs w:val="20"/>
        </w:rPr>
        <w:t xml:space="preserve">Support at least NR CBR as congestion metric for NR sidelink congestion control. </w:t>
      </w:r>
    </w:p>
    <w:p w:rsidR="00631F6F" w:rsidRDefault="00023BC7">
      <w:pPr>
        <w:numPr>
          <w:ilvl w:val="0"/>
          <w:numId w:val="7"/>
        </w:numPr>
        <w:snapToGrid/>
        <w:spacing w:after="0"/>
        <w:jc w:val="left"/>
        <w:rPr>
          <w:rFonts w:asciiTheme="minorHAnsi" w:hAnsiTheme="minorHAnsi" w:cstheme="minorHAnsi"/>
          <w:i/>
          <w:iCs/>
          <w:sz w:val="20"/>
          <w:szCs w:val="20"/>
        </w:rPr>
      </w:pPr>
      <w:r>
        <w:rPr>
          <w:rFonts w:asciiTheme="minorHAnsi" w:hAnsiTheme="minorHAnsi" w:cstheme="minorHAnsi"/>
          <w:i/>
          <w:iCs/>
          <w:sz w:val="20"/>
          <w:szCs w:val="20"/>
        </w:rPr>
        <w:t>LTE CBR is the baseline for defining NR CBR.</w:t>
      </w:r>
    </w:p>
    <w:p w:rsidR="00631F6F" w:rsidRDefault="00631F6F">
      <w:pPr>
        <w:rPr>
          <w:rFonts w:asciiTheme="minorHAnsi" w:hAnsiTheme="minorHAnsi" w:cstheme="minorHAnsi"/>
        </w:rPr>
      </w:pPr>
    </w:p>
    <w:p w:rsidR="00631F6F" w:rsidRDefault="00023BC7">
      <w:pPr>
        <w:rPr>
          <w:rFonts w:asciiTheme="minorHAnsi" w:hAnsiTheme="minorHAnsi" w:cstheme="minorHAnsi"/>
          <w:i/>
          <w:sz w:val="20"/>
        </w:rPr>
      </w:pPr>
      <w:r>
        <w:rPr>
          <w:rFonts w:asciiTheme="minorHAnsi" w:hAnsiTheme="minorHAnsi" w:cstheme="minorHAnsi"/>
          <w:i/>
          <w:sz w:val="20"/>
        </w:rPr>
        <w:t>In RAN1 #97:</w:t>
      </w:r>
      <w:bookmarkStart w:id="2" w:name="_Hlk20920075"/>
      <w:bookmarkEnd w:id="2"/>
    </w:p>
    <w:p w:rsidR="00631F6F" w:rsidRDefault="00023BC7">
      <w:pPr>
        <w:rPr>
          <w:i/>
          <w:iCs/>
          <w:szCs w:val="20"/>
        </w:rPr>
      </w:pPr>
      <w:r>
        <w:rPr>
          <w:i/>
          <w:iCs/>
          <w:szCs w:val="20"/>
        </w:rPr>
        <w:t>Agreements:</w:t>
      </w:r>
    </w:p>
    <w:p w:rsidR="00631F6F" w:rsidRDefault="00023BC7">
      <w:pPr>
        <w:pStyle w:val="ListParagraph"/>
        <w:numPr>
          <w:ilvl w:val="0"/>
          <w:numId w:val="5"/>
        </w:numPr>
        <w:snapToGrid/>
        <w:spacing w:after="0"/>
        <w:jc w:val="left"/>
        <w:rPr>
          <w:rFonts w:asciiTheme="minorHAnsi" w:hAnsiTheme="minorHAnsi" w:cstheme="minorHAnsi"/>
          <w:i/>
          <w:iCs/>
          <w:sz w:val="20"/>
          <w:szCs w:val="20"/>
          <w:lang w:eastAsia="ja-JP"/>
        </w:rPr>
      </w:pPr>
      <w:r>
        <w:rPr>
          <w:rFonts w:asciiTheme="minorHAnsi" w:hAnsiTheme="minorHAnsi" w:cstheme="minorHAnsi"/>
          <w:i/>
          <w:iCs/>
          <w:sz w:val="20"/>
          <w:szCs w:val="20"/>
          <w:lang w:eastAsia="ja-JP"/>
        </w:rPr>
        <w:t>A dynamic grant provides resources for one or multiple sidelink transmissions of a single TB.</w:t>
      </w:r>
    </w:p>
    <w:p w:rsidR="00631F6F" w:rsidRDefault="00023BC7">
      <w:pPr>
        <w:pStyle w:val="ListParagraph"/>
        <w:numPr>
          <w:ilvl w:val="0"/>
          <w:numId w:val="5"/>
        </w:numPr>
        <w:snapToGrid/>
        <w:spacing w:after="0"/>
        <w:jc w:val="left"/>
        <w:rPr>
          <w:rFonts w:asciiTheme="minorHAnsi" w:hAnsiTheme="minorHAnsi" w:cstheme="minorHAnsi"/>
          <w:i/>
          <w:iCs/>
          <w:sz w:val="20"/>
          <w:szCs w:val="20"/>
          <w:lang w:eastAsia="ja-JP"/>
        </w:rPr>
      </w:pPr>
      <w:r>
        <w:rPr>
          <w:rFonts w:asciiTheme="minorHAnsi" w:hAnsiTheme="minorHAnsi" w:cstheme="minorHAnsi"/>
          <w:i/>
          <w:iCs/>
          <w:sz w:val="20"/>
          <w:szCs w:val="20"/>
          <w:lang w:eastAsia="ja-JP"/>
        </w:rPr>
        <w:t>A configured grant (type-1, type-2) provides a set of resources in a periodic manner for multiple sidelink transmissions.</w:t>
      </w:r>
    </w:p>
    <w:p w:rsidR="00631F6F" w:rsidRDefault="00023BC7">
      <w:pPr>
        <w:pStyle w:val="ListParagraph"/>
        <w:numPr>
          <w:ilvl w:val="1"/>
          <w:numId w:val="5"/>
        </w:numPr>
        <w:snapToGrid/>
        <w:spacing w:after="0"/>
        <w:jc w:val="left"/>
        <w:rPr>
          <w:rFonts w:asciiTheme="minorHAnsi" w:hAnsiTheme="minorHAnsi" w:cstheme="minorHAnsi"/>
          <w:i/>
          <w:iCs/>
          <w:sz w:val="20"/>
          <w:szCs w:val="20"/>
          <w:lang w:eastAsia="ja-JP"/>
        </w:rPr>
      </w:pPr>
      <w:r>
        <w:rPr>
          <w:rFonts w:asciiTheme="minorHAnsi" w:hAnsiTheme="minorHAnsi" w:cstheme="minorHAnsi"/>
          <w:i/>
          <w:iCs/>
          <w:sz w:val="20"/>
          <w:szCs w:val="20"/>
          <w:lang w:eastAsia="ja-JP"/>
        </w:rPr>
        <w:t>UE decides which TB to transmit in each of the occasions indicated by a given configured grant.</w:t>
      </w:r>
    </w:p>
    <w:p w:rsidR="00631F6F" w:rsidRDefault="00023BC7">
      <w:pPr>
        <w:pStyle w:val="ListParagraph"/>
        <w:numPr>
          <w:ilvl w:val="1"/>
          <w:numId w:val="5"/>
        </w:numPr>
        <w:snapToGrid/>
        <w:spacing w:after="0"/>
        <w:jc w:val="left"/>
        <w:rPr>
          <w:rFonts w:asciiTheme="minorHAnsi" w:hAnsiTheme="minorHAnsi" w:cstheme="minorHAnsi"/>
          <w:i/>
          <w:iCs/>
          <w:sz w:val="20"/>
          <w:szCs w:val="20"/>
          <w:lang w:eastAsia="ja-JP"/>
        </w:rPr>
      </w:pPr>
      <w:r>
        <w:rPr>
          <w:rFonts w:asciiTheme="minorHAnsi" w:hAnsiTheme="minorHAnsi" w:cstheme="minorHAnsi"/>
          <w:i/>
          <w:iCs/>
          <w:sz w:val="20"/>
          <w:szCs w:val="20"/>
          <w:lang w:eastAsia="ja-JP"/>
        </w:rPr>
        <w:t>FFS: whether different transmissions of a TB can take place across multiple configured grants.</w:t>
      </w:r>
    </w:p>
    <w:p w:rsidR="00631F6F" w:rsidRDefault="00023BC7">
      <w:pPr>
        <w:pStyle w:val="ListParagraph"/>
        <w:snapToGrid/>
        <w:spacing w:after="0"/>
        <w:ind w:left="720" w:firstLine="0"/>
        <w:jc w:val="left"/>
        <w:rPr>
          <w:rFonts w:asciiTheme="minorHAnsi" w:hAnsiTheme="minorHAnsi" w:cstheme="minorHAnsi"/>
          <w:i/>
          <w:iCs/>
          <w:sz w:val="20"/>
          <w:szCs w:val="20"/>
          <w:lang w:eastAsia="ja-JP"/>
        </w:rPr>
      </w:pPr>
      <w:r>
        <w:rPr>
          <w:rFonts w:asciiTheme="minorHAnsi" w:hAnsiTheme="minorHAnsi" w:cstheme="minorHAnsi"/>
          <w:i/>
          <w:iCs/>
          <w:sz w:val="20"/>
          <w:szCs w:val="20"/>
          <w:lang w:eastAsia="ja-JP"/>
        </w:rPr>
        <w:t>Other restrictions on what can be transmitted in a given configured grant (e.g., based on QoS, destination UE, etc.) are up to RAN2.</w:t>
      </w:r>
    </w:p>
    <w:p w:rsidR="00631F6F" w:rsidRDefault="00631F6F">
      <w:pPr>
        <w:rPr>
          <w:rFonts w:asciiTheme="minorHAnsi" w:hAnsiTheme="minorHAnsi" w:cstheme="minorHAnsi"/>
          <w:i/>
          <w:sz w:val="20"/>
        </w:rPr>
      </w:pPr>
    </w:p>
    <w:p w:rsidR="00631F6F" w:rsidRDefault="00023BC7">
      <w:pPr>
        <w:rPr>
          <w:rFonts w:asciiTheme="minorHAnsi" w:hAnsiTheme="minorHAnsi" w:cstheme="minorHAnsi"/>
          <w:i/>
          <w:iCs/>
          <w:sz w:val="20"/>
          <w:szCs w:val="20"/>
        </w:rPr>
      </w:pPr>
      <w:r>
        <w:rPr>
          <w:rFonts w:asciiTheme="minorHAnsi" w:hAnsiTheme="minorHAnsi" w:cstheme="minorHAnsi"/>
          <w:i/>
          <w:iCs/>
          <w:sz w:val="20"/>
          <w:szCs w:val="20"/>
        </w:rPr>
        <w:t>Agreements:</w:t>
      </w:r>
    </w:p>
    <w:p w:rsidR="00631F6F" w:rsidRDefault="00023BC7">
      <w:pPr>
        <w:pStyle w:val="ListParagraph"/>
        <w:numPr>
          <w:ilvl w:val="0"/>
          <w:numId w:val="6"/>
        </w:numPr>
        <w:snapToGrid/>
        <w:spacing w:after="0"/>
        <w:jc w:val="left"/>
        <w:rPr>
          <w:rFonts w:asciiTheme="minorHAnsi" w:hAnsiTheme="minorHAnsi" w:cstheme="minorHAnsi"/>
          <w:i/>
          <w:iCs/>
          <w:sz w:val="20"/>
          <w:szCs w:val="20"/>
          <w:lang w:eastAsia="ja-JP"/>
        </w:rPr>
      </w:pPr>
      <w:r>
        <w:rPr>
          <w:rFonts w:asciiTheme="minorHAnsi" w:hAnsiTheme="minorHAnsi" w:cstheme="minorHAnsi"/>
          <w:i/>
          <w:iCs/>
          <w:sz w:val="20"/>
          <w:szCs w:val="20"/>
          <w:lang w:eastAsia="ja-JP"/>
        </w:rPr>
        <w:t>Sidelink HARQ ACK/NACK report from transmitter UE to gNB is supported with details FFS.</w:t>
      </w:r>
    </w:p>
    <w:p w:rsidR="00631F6F" w:rsidRDefault="00023BC7">
      <w:pPr>
        <w:pStyle w:val="ListParagraph"/>
        <w:ind w:left="800" w:firstLine="400"/>
        <w:rPr>
          <w:rFonts w:asciiTheme="minorHAnsi" w:hAnsiTheme="minorHAnsi" w:cstheme="minorHAnsi"/>
          <w:i/>
          <w:iCs/>
          <w:sz w:val="20"/>
          <w:szCs w:val="20"/>
          <w:lang w:eastAsia="ja-JP"/>
        </w:rPr>
      </w:pPr>
      <w:r>
        <w:rPr>
          <w:rFonts w:asciiTheme="minorHAnsi" w:hAnsiTheme="minorHAnsi" w:cstheme="minorHAnsi"/>
          <w:i/>
          <w:iCs/>
          <w:sz w:val="20"/>
          <w:szCs w:val="20"/>
          <w:lang w:eastAsia="ja-JP"/>
        </w:rPr>
        <w:t>Note: this reverts the following agreement from RAN1#96:</w:t>
      </w:r>
    </w:p>
    <w:p w:rsidR="00631F6F" w:rsidRDefault="00023BC7">
      <w:pPr>
        <w:pStyle w:val="ListParagraph"/>
        <w:numPr>
          <w:ilvl w:val="1"/>
          <w:numId w:val="6"/>
        </w:numPr>
        <w:snapToGrid/>
        <w:spacing w:after="0"/>
        <w:jc w:val="left"/>
        <w:rPr>
          <w:rFonts w:asciiTheme="minorHAnsi" w:hAnsiTheme="minorHAnsi" w:cstheme="minorHAnsi"/>
          <w:i/>
          <w:iCs/>
          <w:sz w:val="20"/>
          <w:szCs w:val="20"/>
          <w:lang w:eastAsia="ja-JP"/>
        </w:rPr>
      </w:pPr>
      <w:r>
        <w:rPr>
          <w:rFonts w:asciiTheme="minorHAnsi" w:hAnsiTheme="minorHAnsi" w:cstheme="minorHAnsi"/>
          <w:i/>
          <w:iCs/>
          <w:sz w:val="20"/>
          <w:szCs w:val="20"/>
          <w:lang w:eastAsia="ja-JP"/>
        </w:rPr>
        <w:t>Sidelink HARQ ACK/NACK report from UE to gNB is not supported in Rel-16.</w:t>
      </w:r>
    </w:p>
    <w:p w:rsidR="00631F6F" w:rsidRDefault="00023BC7">
      <w:pPr>
        <w:pStyle w:val="ListParagraph"/>
        <w:numPr>
          <w:ilvl w:val="0"/>
          <w:numId w:val="6"/>
        </w:numPr>
        <w:snapToGrid/>
        <w:spacing w:after="0"/>
        <w:jc w:val="left"/>
        <w:rPr>
          <w:rFonts w:asciiTheme="minorHAnsi" w:hAnsiTheme="minorHAnsi" w:cstheme="minorHAnsi"/>
          <w:i/>
          <w:iCs/>
          <w:sz w:val="20"/>
          <w:szCs w:val="20"/>
          <w:lang w:eastAsia="ja-JP"/>
        </w:rPr>
      </w:pPr>
      <w:r>
        <w:rPr>
          <w:rFonts w:asciiTheme="minorHAnsi" w:hAnsiTheme="minorHAnsi" w:cstheme="minorHAnsi"/>
          <w:i/>
          <w:iCs/>
          <w:sz w:val="20"/>
          <w:szCs w:val="20"/>
          <w:lang w:eastAsia="ja-JP"/>
        </w:rPr>
        <w:t>SR/BSR report to gNB for the purpose of requesting resources for HARQ retransmission is not supported.</w:t>
      </w:r>
    </w:p>
    <w:p w:rsidR="00631F6F" w:rsidRDefault="00023BC7">
      <w:r>
        <w:rPr>
          <w:rFonts w:asciiTheme="minorHAnsi" w:hAnsiTheme="minorHAnsi" w:cstheme="minorHAnsi"/>
          <w:i/>
          <w:iCs/>
          <w:sz w:val="20"/>
          <w:szCs w:val="20"/>
          <w:lang w:eastAsia="ja-JP"/>
        </w:rPr>
        <w:t xml:space="preserve">Send an LS to RAN2 with the agreement – </w:t>
      </w:r>
      <w:hyperlink r:id="rId7">
        <w:r>
          <w:rPr>
            <w:rStyle w:val="InternetLink"/>
            <w:rFonts w:asciiTheme="minorHAnsi" w:hAnsiTheme="minorHAnsi" w:cstheme="minorHAnsi"/>
            <w:b/>
            <w:i/>
            <w:iCs/>
            <w:sz w:val="20"/>
            <w:szCs w:val="20"/>
            <w:lang w:eastAsia="ja-JP"/>
          </w:rPr>
          <w:t>R1-1907889</w:t>
        </w:r>
      </w:hyperlink>
      <w:r>
        <w:rPr>
          <w:rFonts w:asciiTheme="minorHAnsi" w:hAnsiTheme="minorHAnsi" w:cstheme="minorHAnsi"/>
          <w:b/>
          <w:i/>
          <w:iCs/>
          <w:sz w:val="20"/>
          <w:szCs w:val="20"/>
          <w:lang w:eastAsia="ja-JP"/>
        </w:rPr>
        <w:t xml:space="preserve">, </w:t>
      </w:r>
      <w:r>
        <w:rPr>
          <w:rFonts w:asciiTheme="minorHAnsi" w:hAnsiTheme="minorHAnsi" w:cstheme="minorHAnsi"/>
          <w:i/>
          <w:iCs/>
          <w:sz w:val="20"/>
          <w:szCs w:val="20"/>
          <w:lang w:eastAsia="ja-JP"/>
        </w:rPr>
        <w:t>which is approved with final LS in R1-1907905</w:t>
      </w:r>
    </w:p>
    <w:p w:rsidR="00631F6F" w:rsidRDefault="00631F6F">
      <w:pPr>
        <w:rPr>
          <w:rFonts w:asciiTheme="minorHAnsi" w:hAnsiTheme="minorHAnsi" w:cstheme="minorHAnsi"/>
          <w:i/>
          <w:iCs/>
          <w:sz w:val="20"/>
          <w:szCs w:val="20"/>
        </w:rPr>
      </w:pPr>
    </w:p>
    <w:p w:rsidR="00631F6F" w:rsidRDefault="00023BC7">
      <w:pPr>
        <w:rPr>
          <w:rFonts w:asciiTheme="minorHAnsi" w:hAnsiTheme="minorHAnsi" w:cstheme="minorHAnsi"/>
          <w:i/>
          <w:iCs/>
          <w:sz w:val="20"/>
          <w:szCs w:val="20"/>
        </w:rPr>
      </w:pPr>
      <w:r>
        <w:rPr>
          <w:rFonts w:asciiTheme="minorHAnsi" w:hAnsiTheme="minorHAnsi" w:cstheme="minorHAnsi"/>
          <w:i/>
          <w:iCs/>
          <w:sz w:val="20"/>
          <w:szCs w:val="20"/>
        </w:rPr>
        <w:t>Agreements:</w:t>
      </w:r>
    </w:p>
    <w:p w:rsidR="00631F6F" w:rsidRDefault="00023BC7">
      <w:pPr>
        <w:pStyle w:val="ListParagraph"/>
        <w:numPr>
          <w:ilvl w:val="0"/>
          <w:numId w:val="6"/>
        </w:numPr>
        <w:snapToGrid/>
        <w:spacing w:after="0"/>
        <w:jc w:val="left"/>
        <w:rPr>
          <w:rFonts w:asciiTheme="minorHAnsi" w:hAnsiTheme="minorHAnsi" w:cstheme="minorHAnsi"/>
          <w:i/>
          <w:iCs/>
          <w:sz w:val="20"/>
          <w:szCs w:val="20"/>
          <w:lang w:eastAsia="ja-JP"/>
        </w:rPr>
      </w:pPr>
      <w:r>
        <w:rPr>
          <w:rFonts w:asciiTheme="minorHAnsi" w:hAnsiTheme="minorHAnsi" w:cstheme="minorHAnsi"/>
          <w:i/>
          <w:iCs/>
          <w:sz w:val="20"/>
          <w:szCs w:val="20"/>
          <w:lang w:eastAsia="ja-JP"/>
        </w:rPr>
        <w:t>NR sidelink does not support performing different transmissions of a TB using different configured grants.</w:t>
      </w:r>
    </w:p>
    <w:p w:rsidR="00631F6F" w:rsidRDefault="00631F6F">
      <w:pPr>
        <w:rPr>
          <w:rFonts w:asciiTheme="minorHAnsi" w:hAnsiTheme="minorHAnsi" w:cstheme="minorHAnsi"/>
          <w:i/>
          <w:iCs/>
          <w:sz w:val="20"/>
          <w:szCs w:val="20"/>
        </w:rPr>
      </w:pPr>
    </w:p>
    <w:p w:rsidR="00631F6F" w:rsidRDefault="00023BC7">
      <w:pPr>
        <w:rPr>
          <w:rFonts w:asciiTheme="minorHAnsi" w:hAnsiTheme="minorHAnsi" w:cstheme="minorHAnsi"/>
          <w:i/>
          <w:iCs/>
          <w:sz w:val="20"/>
          <w:szCs w:val="20"/>
        </w:rPr>
      </w:pPr>
      <w:r>
        <w:rPr>
          <w:rFonts w:asciiTheme="minorHAnsi" w:hAnsiTheme="minorHAnsi" w:cstheme="minorHAnsi"/>
          <w:i/>
          <w:iCs/>
          <w:sz w:val="20"/>
          <w:szCs w:val="20"/>
        </w:rPr>
        <w:t>Agreements:</w:t>
      </w:r>
    </w:p>
    <w:p w:rsidR="00631F6F" w:rsidRDefault="00023BC7">
      <w:pPr>
        <w:pStyle w:val="ListParagraph"/>
        <w:numPr>
          <w:ilvl w:val="0"/>
          <w:numId w:val="6"/>
        </w:numPr>
        <w:snapToGrid/>
        <w:spacing w:after="0"/>
        <w:jc w:val="left"/>
        <w:rPr>
          <w:rFonts w:asciiTheme="minorHAnsi" w:hAnsiTheme="minorHAnsi" w:cstheme="minorHAnsi"/>
          <w:i/>
          <w:iCs/>
          <w:sz w:val="20"/>
          <w:szCs w:val="20"/>
          <w:lang w:eastAsia="ja-JP"/>
        </w:rPr>
      </w:pPr>
      <w:r>
        <w:rPr>
          <w:rFonts w:asciiTheme="minorHAnsi" w:hAnsiTheme="minorHAnsi" w:cstheme="minorHAnsi"/>
          <w:i/>
          <w:iCs/>
          <w:sz w:val="20"/>
          <w:szCs w:val="20"/>
          <w:lang w:eastAsia="ja-JP"/>
        </w:rPr>
        <w:t>For mode 1:</w:t>
      </w:r>
    </w:p>
    <w:p w:rsidR="00631F6F" w:rsidRDefault="00023BC7">
      <w:pPr>
        <w:pStyle w:val="ListParagraph"/>
        <w:numPr>
          <w:ilvl w:val="1"/>
          <w:numId w:val="6"/>
        </w:numPr>
        <w:snapToGrid/>
        <w:spacing w:after="0"/>
        <w:jc w:val="left"/>
        <w:rPr>
          <w:rFonts w:asciiTheme="minorHAnsi" w:hAnsiTheme="minorHAnsi" w:cstheme="minorHAnsi"/>
          <w:i/>
          <w:iCs/>
          <w:sz w:val="20"/>
          <w:szCs w:val="20"/>
          <w:lang w:eastAsia="ja-JP"/>
        </w:rPr>
      </w:pPr>
      <w:r>
        <w:rPr>
          <w:rFonts w:asciiTheme="minorHAnsi" w:hAnsiTheme="minorHAnsi" w:cstheme="minorHAnsi"/>
          <w:i/>
          <w:iCs/>
          <w:sz w:val="20"/>
          <w:szCs w:val="20"/>
          <w:lang w:eastAsia="ja-JP"/>
        </w:rPr>
        <w:t>A dynamic grant by the gNB provides resources for transmission of PSCCH and PSSCH.</w:t>
      </w:r>
    </w:p>
    <w:p w:rsidR="00631F6F" w:rsidRDefault="00631F6F">
      <w:pPr>
        <w:rPr>
          <w:lang w:val="en-GB" w:eastAsia="ja-JP"/>
        </w:rPr>
      </w:pPr>
    </w:p>
    <w:p w:rsidR="00631F6F" w:rsidRDefault="00023BC7">
      <w:pPr>
        <w:rPr>
          <w:rFonts w:asciiTheme="minorHAnsi" w:hAnsiTheme="minorHAnsi" w:cstheme="minorHAnsi"/>
          <w:i/>
          <w:sz w:val="20"/>
        </w:rPr>
      </w:pPr>
      <w:r>
        <w:rPr>
          <w:rFonts w:asciiTheme="minorHAnsi" w:hAnsiTheme="minorHAnsi" w:cstheme="minorHAnsi"/>
          <w:i/>
          <w:sz w:val="20"/>
        </w:rPr>
        <w:t>In RAN1 #98:</w:t>
      </w:r>
    </w:p>
    <w:p w:rsidR="00631F6F" w:rsidRDefault="00023BC7">
      <w:pPr>
        <w:rPr>
          <w:rFonts w:asciiTheme="minorHAnsi" w:hAnsiTheme="minorHAnsi" w:cstheme="minorHAnsi"/>
          <w:i/>
          <w:iCs/>
          <w:sz w:val="20"/>
          <w:szCs w:val="18"/>
          <w:lang w:eastAsia="x-none"/>
        </w:rPr>
      </w:pPr>
      <w:r>
        <w:rPr>
          <w:rFonts w:asciiTheme="minorHAnsi" w:hAnsiTheme="minorHAnsi" w:cstheme="minorHAnsi"/>
          <w:i/>
          <w:iCs/>
          <w:sz w:val="20"/>
          <w:szCs w:val="18"/>
          <w:lang w:eastAsia="x-none"/>
        </w:rPr>
        <w:t>Agreements:</w:t>
      </w:r>
    </w:p>
    <w:p w:rsidR="00631F6F" w:rsidRDefault="00023BC7">
      <w:pPr>
        <w:pStyle w:val="ListParagraph"/>
        <w:numPr>
          <w:ilvl w:val="0"/>
          <w:numId w:val="6"/>
        </w:numPr>
        <w:snapToGrid/>
        <w:spacing w:after="0"/>
        <w:jc w:val="left"/>
        <w:rPr>
          <w:rFonts w:asciiTheme="minorHAnsi" w:hAnsiTheme="minorHAnsi" w:cstheme="minorHAnsi"/>
          <w:i/>
          <w:iCs/>
          <w:sz w:val="20"/>
          <w:szCs w:val="20"/>
        </w:rPr>
      </w:pPr>
      <w:r>
        <w:rPr>
          <w:rFonts w:asciiTheme="minorHAnsi" w:hAnsiTheme="minorHAnsi" w:cstheme="minorHAnsi"/>
          <w:i/>
          <w:iCs/>
          <w:sz w:val="20"/>
          <w:szCs w:val="20"/>
        </w:rPr>
        <w:t>For Mode-1, support both same-carrier &amp; cross-carrier scheduling from gNB to NR SL</w:t>
      </w:r>
    </w:p>
    <w:p w:rsidR="00631F6F" w:rsidRDefault="00023BC7">
      <w:pPr>
        <w:pStyle w:val="ListParagraph"/>
        <w:numPr>
          <w:ilvl w:val="1"/>
          <w:numId w:val="6"/>
        </w:numPr>
        <w:snapToGrid/>
        <w:spacing w:after="0"/>
        <w:jc w:val="left"/>
        <w:rPr>
          <w:rFonts w:asciiTheme="minorHAnsi" w:hAnsiTheme="minorHAnsi" w:cstheme="minorHAnsi"/>
          <w:i/>
          <w:iCs/>
          <w:sz w:val="20"/>
          <w:szCs w:val="20"/>
        </w:rPr>
      </w:pPr>
      <w:r>
        <w:rPr>
          <w:rFonts w:asciiTheme="minorHAnsi" w:hAnsiTheme="minorHAnsi" w:cstheme="minorHAnsi"/>
          <w:i/>
          <w:iCs/>
          <w:sz w:val="20"/>
          <w:szCs w:val="20"/>
        </w:rPr>
        <w:t>Whether or not to have the cross-carrier scheduling indicator in the DCI given that there is only one SL carrier for a UE in Rel-16</w:t>
      </w:r>
    </w:p>
    <w:p w:rsidR="00631F6F" w:rsidRDefault="00631F6F">
      <w:pPr>
        <w:rPr>
          <w:rFonts w:asciiTheme="minorHAnsi" w:hAnsiTheme="minorHAnsi" w:cstheme="minorHAnsi"/>
          <w:i/>
          <w:iCs/>
          <w:sz w:val="20"/>
          <w:szCs w:val="18"/>
          <w:lang w:eastAsia="x-none"/>
        </w:rPr>
      </w:pPr>
    </w:p>
    <w:p w:rsidR="00631F6F" w:rsidRDefault="00023BC7">
      <w:pPr>
        <w:rPr>
          <w:rFonts w:asciiTheme="minorHAnsi" w:hAnsiTheme="minorHAnsi" w:cstheme="minorHAnsi"/>
          <w:i/>
          <w:iCs/>
          <w:sz w:val="20"/>
          <w:szCs w:val="18"/>
          <w:lang w:eastAsia="x-none"/>
        </w:rPr>
      </w:pPr>
      <w:r>
        <w:rPr>
          <w:rFonts w:asciiTheme="minorHAnsi" w:hAnsiTheme="minorHAnsi" w:cstheme="minorHAnsi"/>
          <w:i/>
          <w:iCs/>
          <w:sz w:val="20"/>
          <w:szCs w:val="18"/>
          <w:lang w:eastAsia="x-none"/>
        </w:rPr>
        <w:t>Agreements:</w:t>
      </w:r>
    </w:p>
    <w:p w:rsidR="00631F6F" w:rsidRDefault="00023BC7">
      <w:pPr>
        <w:pStyle w:val="ListParagraph"/>
        <w:numPr>
          <w:ilvl w:val="0"/>
          <w:numId w:val="8"/>
        </w:numPr>
        <w:snapToGrid/>
        <w:spacing w:after="0"/>
        <w:jc w:val="left"/>
        <w:rPr>
          <w:rFonts w:asciiTheme="minorHAnsi" w:hAnsiTheme="minorHAnsi" w:cstheme="minorHAnsi"/>
          <w:i/>
          <w:iCs/>
          <w:sz w:val="20"/>
          <w:szCs w:val="20"/>
        </w:rPr>
      </w:pPr>
      <w:r>
        <w:rPr>
          <w:rFonts w:asciiTheme="minorHAnsi" w:hAnsiTheme="minorHAnsi" w:cstheme="minorHAnsi"/>
          <w:i/>
          <w:iCs/>
          <w:sz w:val="20"/>
          <w:szCs w:val="20"/>
        </w:rPr>
        <w:t>At least for dynamic grant, the timing and resource for PUCCH used for conveying SL HARQ feedback to the gNB are based on the indication(s) in the corresponding PDCCH</w:t>
      </w:r>
    </w:p>
    <w:p w:rsidR="00631F6F" w:rsidRDefault="00023BC7">
      <w:pPr>
        <w:pStyle w:val="ListParagraph"/>
        <w:numPr>
          <w:ilvl w:val="1"/>
          <w:numId w:val="8"/>
        </w:numPr>
        <w:snapToGrid/>
        <w:spacing w:after="0"/>
        <w:jc w:val="left"/>
        <w:rPr>
          <w:rFonts w:asciiTheme="minorHAnsi" w:hAnsiTheme="minorHAnsi" w:cstheme="minorHAnsi"/>
          <w:i/>
          <w:iCs/>
          <w:sz w:val="20"/>
          <w:szCs w:val="20"/>
        </w:rPr>
      </w:pPr>
      <w:r>
        <w:rPr>
          <w:rFonts w:asciiTheme="minorHAnsi" w:hAnsiTheme="minorHAnsi" w:cstheme="minorHAnsi"/>
          <w:i/>
          <w:iCs/>
          <w:sz w:val="20"/>
          <w:szCs w:val="20"/>
        </w:rPr>
        <w:t>Details FFS</w:t>
      </w:r>
    </w:p>
    <w:p w:rsidR="00631F6F" w:rsidRDefault="00023BC7">
      <w:pPr>
        <w:rPr>
          <w:rFonts w:asciiTheme="minorHAnsi" w:hAnsiTheme="minorHAnsi" w:cstheme="minorHAnsi"/>
          <w:b/>
          <w:bCs/>
          <w:i/>
          <w:iCs/>
          <w:sz w:val="20"/>
          <w:szCs w:val="18"/>
          <w:lang w:eastAsia="x-none"/>
        </w:rPr>
      </w:pPr>
      <w:r>
        <w:rPr>
          <w:rFonts w:asciiTheme="minorHAnsi" w:hAnsiTheme="minorHAnsi" w:cstheme="minorHAnsi"/>
          <w:i/>
          <w:iCs/>
          <w:sz w:val="20"/>
          <w:szCs w:val="18"/>
          <w:lang w:eastAsia="x-none"/>
        </w:rPr>
        <w:t>Agreements</w:t>
      </w:r>
      <w:r>
        <w:rPr>
          <w:rFonts w:asciiTheme="minorHAnsi" w:hAnsiTheme="minorHAnsi" w:cstheme="minorHAnsi"/>
          <w:b/>
          <w:bCs/>
          <w:i/>
          <w:iCs/>
          <w:sz w:val="20"/>
          <w:szCs w:val="18"/>
          <w:lang w:eastAsia="x-none"/>
        </w:rPr>
        <w:t>:</w:t>
      </w:r>
    </w:p>
    <w:p w:rsidR="00631F6F" w:rsidRDefault="00023BC7">
      <w:pPr>
        <w:pStyle w:val="ListParagraph"/>
        <w:numPr>
          <w:ilvl w:val="0"/>
          <w:numId w:val="6"/>
        </w:numPr>
        <w:snapToGrid/>
        <w:spacing w:after="0"/>
        <w:jc w:val="left"/>
        <w:rPr>
          <w:rFonts w:asciiTheme="minorHAnsi" w:hAnsiTheme="minorHAnsi" w:cstheme="minorHAnsi"/>
          <w:bCs/>
          <w:i/>
          <w:iCs/>
          <w:sz w:val="20"/>
          <w:szCs w:val="20"/>
        </w:rPr>
      </w:pPr>
      <w:r>
        <w:rPr>
          <w:rFonts w:asciiTheme="minorHAnsi" w:hAnsiTheme="minorHAnsi" w:cstheme="minorHAnsi"/>
          <w:bCs/>
          <w:i/>
          <w:iCs/>
          <w:sz w:val="20"/>
          <w:szCs w:val="20"/>
        </w:rPr>
        <w:t>DCI indicates the slot offset between DCI reception and the first sidelink transmission scheduled by DCI.</w:t>
      </w:r>
    </w:p>
    <w:p w:rsidR="00631F6F" w:rsidRDefault="00023BC7">
      <w:pPr>
        <w:pStyle w:val="ListParagraph"/>
        <w:numPr>
          <w:ilvl w:val="1"/>
          <w:numId w:val="6"/>
        </w:numPr>
        <w:snapToGrid/>
        <w:spacing w:after="0"/>
        <w:jc w:val="left"/>
        <w:rPr>
          <w:rFonts w:asciiTheme="minorHAnsi" w:hAnsiTheme="minorHAnsi" w:cstheme="minorHAnsi"/>
          <w:bCs/>
          <w:i/>
          <w:iCs/>
          <w:sz w:val="20"/>
          <w:szCs w:val="20"/>
        </w:rPr>
      </w:pPr>
      <w:r>
        <w:rPr>
          <w:rFonts w:asciiTheme="minorHAnsi" w:hAnsiTheme="minorHAnsi" w:cstheme="minorHAnsi"/>
          <w:bCs/>
          <w:i/>
          <w:iCs/>
          <w:sz w:val="20"/>
          <w:szCs w:val="20"/>
        </w:rPr>
        <w:t>The minimum gap between DCI and the first scheduled sidelink transmission is not smaller than the corresponding UE processing time.</w:t>
      </w:r>
    </w:p>
    <w:p w:rsidR="00631F6F" w:rsidRDefault="00023BC7">
      <w:pPr>
        <w:pStyle w:val="ListParagraph"/>
        <w:numPr>
          <w:ilvl w:val="1"/>
          <w:numId w:val="6"/>
        </w:numPr>
        <w:snapToGrid/>
        <w:spacing w:after="0"/>
        <w:jc w:val="left"/>
        <w:rPr>
          <w:rFonts w:asciiTheme="minorHAnsi" w:hAnsiTheme="minorHAnsi" w:cstheme="minorHAnsi"/>
          <w:bCs/>
          <w:i/>
          <w:iCs/>
          <w:sz w:val="20"/>
          <w:szCs w:val="20"/>
        </w:rPr>
      </w:pPr>
      <w:r>
        <w:rPr>
          <w:rFonts w:asciiTheme="minorHAnsi" w:hAnsiTheme="minorHAnsi" w:cstheme="minorHAnsi"/>
          <w:bCs/>
          <w:i/>
          <w:iCs/>
          <w:sz w:val="20"/>
          <w:szCs w:val="20"/>
        </w:rPr>
        <w:t>Details FFS</w:t>
      </w:r>
    </w:p>
    <w:p w:rsidR="00631F6F" w:rsidRDefault="00631F6F">
      <w:pPr>
        <w:rPr>
          <w:lang w:val="en-GB" w:eastAsia="ja-JP"/>
        </w:rPr>
      </w:pPr>
    </w:p>
    <w:p w:rsidR="00631F6F" w:rsidRDefault="00023BC7">
      <w:pPr>
        <w:rPr>
          <w:rFonts w:asciiTheme="minorHAnsi" w:hAnsiTheme="minorHAnsi" w:cstheme="minorHAnsi"/>
          <w:lang w:val="en-GB" w:eastAsia="ja-JP"/>
        </w:rPr>
      </w:pPr>
      <w:r>
        <w:rPr>
          <w:rFonts w:asciiTheme="minorHAnsi" w:hAnsiTheme="minorHAnsi" w:cstheme="minorHAnsi"/>
          <w:lang w:val="en-GB" w:eastAsia="ja-JP"/>
        </w:rPr>
        <w:t>In RAN1 #99</w:t>
      </w:r>
    </w:p>
    <w:p w:rsidR="00631F6F" w:rsidRDefault="00023BC7">
      <w:pPr>
        <w:rPr>
          <w:rFonts w:asciiTheme="minorHAnsi" w:hAnsiTheme="minorHAnsi" w:cstheme="minorHAnsi"/>
          <w:i/>
          <w:iCs/>
          <w:sz w:val="20"/>
          <w:szCs w:val="20"/>
          <w:lang w:eastAsia="x-none"/>
        </w:rPr>
      </w:pPr>
      <w:r>
        <w:rPr>
          <w:rFonts w:asciiTheme="minorHAnsi" w:hAnsiTheme="minorHAnsi" w:cstheme="minorHAnsi"/>
          <w:i/>
          <w:iCs/>
          <w:sz w:val="20"/>
          <w:szCs w:val="20"/>
          <w:highlight w:val="green"/>
          <w:lang w:eastAsia="x-none"/>
        </w:rPr>
        <w:t>Agreements</w:t>
      </w:r>
      <w:r>
        <w:rPr>
          <w:rFonts w:asciiTheme="minorHAnsi" w:hAnsiTheme="minorHAnsi" w:cstheme="minorHAnsi"/>
          <w:i/>
          <w:iCs/>
          <w:sz w:val="20"/>
          <w:szCs w:val="20"/>
          <w:lang w:eastAsia="x-none"/>
        </w:rPr>
        <w:t>:</w:t>
      </w:r>
    </w:p>
    <w:p w:rsidR="00631F6F" w:rsidRDefault="00023BC7">
      <w:pPr>
        <w:pStyle w:val="ListParagraph"/>
        <w:numPr>
          <w:ilvl w:val="0"/>
          <w:numId w:val="15"/>
        </w:numPr>
        <w:snapToGrid/>
        <w:spacing w:after="0" w:line="254" w:lineRule="auto"/>
        <w:jc w:val="left"/>
        <w:rPr>
          <w:rFonts w:asciiTheme="minorHAnsi" w:hAnsiTheme="minorHAnsi" w:cstheme="minorHAnsi"/>
          <w:bCs/>
          <w:i/>
          <w:iCs/>
          <w:sz w:val="20"/>
          <w:szCs w:val="20"/>
          <w:lang w:eastAsia="ja-JP"/>
        </w:rPr>
      </w:pPr>
      <w:r>
        <w:rPr>
          <w:rFonts w:asciiTheme="minorHAnsi" w:hAnsiTheme="minorHAnsi" w:cstheme="minorHAnsi"/>
          <w:bCs/>
          <w:i/>
          <w:iCs/>
          <w:sz w:val="20"/>
          <w:szCs w:val="20"/>
          <w:lang w:eastAsia="ja-JP"/>
        </w:rPr>
        <w:t xml:space="preserve">Existing DCI size budget is maintained when the UE is configured with SL </w:t>
      </w:r>
    </w:p>
    <w:p w:rsidR="00631F6F" w:rsidRDefault="00023BC7">
      <w:pPr>
        <w:numPr>
          <w:ilvl w:val="0"/>
          <w:numId w:val="15"/>
        </w:numPr>
        <w:snapToGrid/>
        <w:spacing w:after="0"/>
        <w:jc w:val="left"/>
        <w:rPr>
          <w:rFonts w:asciiTheme="minorHAnsi" w:hAnsiTheme="minorHAnsi" w:cstheme="minorHAnsi"/>
          <w:i/>
          <w:iCs/>
          <w:sz w:val="20"/>
          <w:szCs w:val="20"/>
          <w:lang w:eastAsia="x-none"/>
        </w:rPr>
      </w:pPr>
      <w:r>
        <w:rPr>
          <w:rFonts w:asciiTheme="minorHAnsi" w:hAnsiTheme="minorHAnsi" w:cstheme="minorHAnsi"/>
          <w:i/>
          <w:iCs/>
          <w:sz w:val="20"/>
          <w:szCs w:val="20"/>
          <w:lang w:eastAsia="x-none"/>
        </w:rPr>
        <w:t>(</w:t>
      </w:r>
      <w:r>
        <w:rPr>
          <w:rFonts w:asciiTheme="minorHAnsi" w:hAnsiTheme="minorHAnsi" w:cstheme="minorHAnsi"/>
          <w:i/>
          <w:iCs/>
          <w:sz w:val="20"/>
          <w:szCs w:val="20"/>
          <w:highlight w:val="darkYellow"/>
          <w:lang w:eastAsia="x-none"/>
        </w:rPr>
        <w:t>working assumption</w:t>
      </w:r>
      <w:r>
        <w:rPr>
          <w:rFonts w:asciiTheme="minorHAnsi" w:hAnsiTheme="minorHAnsi" w:cstheme="minorHAnsi"/>
          <w:i/>
          <w:iCs/>
          <w:sz w:val="20"/>
          <w:szCs w:val="20"/>
          <w:lang w:eastAsia="x-none"/>
        </w:rPr>
        <w:t>): The size of the new DCI format and the size of one of the existing NR DCI formats are aligned.</w:t>
      </w:r>
    </w:p>
    <w:p w:rsidR="00631F6F" w:rsidRDefault="00631F6F">
      <w:pPr>
        <w:rPr>
          <w:rFonts w:asciiTheme="minorHAnsi" w:hAnsiTheme="minorHAnsi" w:cstheme="minorHAnsi"/>
          <w:i/>
          <w:iCs/>
          <w:sz w:val="20"/>
          <w:szCs w:val="20"/>
          <w:lang w:val="en-GB" w:eastAsia="ja-JP"/>
        </w:rPr>
      </w:pPr>
    </w:p>
    <w:p w:rsidR="00631F6F" w:rsidRDefault="00023BC7">
      <w:pPr>
        <w:rPr>
          <w:rFonts w:asciiTheme="minorHAnsi" w:hAnsiTheme="minorHAnsi" w:cstheme="minorHAnsi"/>
          <w:i/>
          <w:iCs/>
          <w:sz w:val="20"/>
          <w:szCs w:val="20"/>
          <w:lang w:eastAsia="x-none"/>
        </w:rPr>
      </w:pPr>
      <w:r>
        <w:rPr>
          <w:rFonts w:asciiTheme="minorHAnsi" w:hAnsiTheme="minorHAnsi" w:cstheme="minorHAnsi"/>
          <w:i/>
          <w:iCs/>
          <w:sz w:val="20"/>
          <w:szCs w:val="20"/>
          <w:highlight w:val="green"/>
          <w:lang w:eastAsia="x-none"/>
        </w:rPr>
        <w:t>Agreements</w:t>
      </w:r>
      <w:r>
        <w:rPr>
          <w:rFonts w:asciiTheme="minorHAnsi" w:hAnsiTheme="minorHAnsi" w:cstheme="minorHAnsi"/>
          <w:i/>
          <w:iCs/>
          <w:sz w:val="20"/>
          <w:szCs w:val="20"/>
          <w:lang w:eastAsia="x-none"/>
        </w:rPr>
        <w:t>:</w:t>
      </w:r>
    </w:p>
    <w:p w:rsidR="00631F6F" w:rsidRDefault="00023BC7">
      <w:pPr>
        <w:pStyle w:val="ListParagraph"/>
        <w:numPr>
          <w:ilvl w:val="0"/>
          <w:numId w:val="9"/>
        </w:numPr>
        <w:snapToGrid/>
        <w:spacing w:after="0" w:line="254" w:lineRule="auto"/>
        <w:jc w:val="left"/>
        <w:rPr>
          <w:rFonts w:asciiTheme="minorHAnsi" w:hAnsiTheme="minorHAnsi" w:cstheme="minorHAnsi"/>
          <w:b/>
          <w:i/>
          <w:iCs/>
          <w:sz w:val="20"/>
          <w:szCs w:val="20"/>
          <w:lang w:eastAsia="ja-JP"/>
        </w:rPr>
      </w:pPr>
      <w:r>
        <w:rPr>
          <w:rFonts w:asciiTheme="minorHAnsi" w:hAnsiTheme="minorHAnsi" w:cstheme="minorHAnsi"/>
          <w:i/>
          <w:iCs/>
          <w:sz w:val="20"/>
          <w:szCs w:val="20"/>
          <w:lang w:eastAsia="ja-JP"/>
        </w:rPr>
        <w:t>Use a separate PDCCH monitoring configuration (as configured in Rel-15) for DCI scheduling SL</w:t>
      </w:r>
    </w:p>
    <w:p w:rsidR="00631F6F" w:rsidRDefault="00023BC7">
      <w:pPr>
        <w:pStyle w:val="ListParagraph"/>
        <w:numPr>
          <w:ilvl w:val="1"/>
          <w:numId w:val="9"/>
        </w:numPr>
        <w:snapToGrid/>
        <w:spacing w:after="0" w:line="254" w:lineRule="auto"/>
        <w:jc w:val="left"/>
        <w:rPr>
          <w:rFonts w:asciiTheme="minorHAnsi" w:hAnsiTheme="minorHAnsi" w:cstheme="minorHAnsi"/>
          <w:b/>
          <w:i/>
          <w:iCs/>
          <w:sz w:val="20"/>
          <w:szCs w:val="20"/>
          <w:lang w:eastAsia="ja-JP"/>
        </w:rPr>
      </w:pPr>
      <w:r>
        <w:rPr>
          <w:rFonts w:asciiTheme="minorHAnsi" w:hAnsiTheme="minorHAnsi" w:cstheme="minorHAnsi"/>
          <w:i/>
          <w:iCs/>
          <w:sz w:val="20"/>
          <w:szCs w:val="20"/>
          <w:lang w:eastAsia="ja-JP"/>
        </w:rPr>
        <w:t>The per-CC and across-CC blind decoding budget and the maximum number of non-overlapped CCEs for channel estimation are not increased.</w:t>
      </w:r>
    </w:p>
    <w:p w:rsidR="00631F6F" w:rsidRDefault="00023BC7">
      <w:pPr>
        <w:pStyle w:val="ListParagraph"/>
        <w:numPr>
          <w:ilvl w:val="1"/>
          <w:numId w:val="9"/>
        </w:numPr>
        <w:snapToGrid/>
        <w:spacing w:after="0" w:line="254" w:lineRule="auto"/>
        <w:jc w:val="left"/>
        <w:rPr>
          <w:rFonts w:asciiTheme="minorHAnsi" w:hAnsiTheme="minorHAnsi" w:cstheme="minorHAnsi"/>
          <w:b/>
          <w:i/>
          <w:iCs/>
          <w:sz w:val="20"/>
          <w:szCs w:val="20"/>
          <w:lang w:eastAsia="ja-JP"/>
        </w:rPr>
      </w:pPr>
      <w:r>
        <w:rPr>
          <w:rFonts w:asciiTheme="minorHAnsi" w:hAnsiTheme="minorHAnsi" w:cstheme="minorHAnsi"/>
          <w:i/>
          <w:iCs/>
          <w:sz w:val="20"/>
          <w:szCs w:val="20"/>
          <w:lang w:eastAsia="ja-JP"/>
        </w:rPr>
        <w:t>The per-CC and across-CC maximum number of search spaces is not increased.</w:t>
      </w:r>
    </w:p>
    <w:p w:rsidR="00631F6F" w:rsidRDefault="00023BC7">
      <w:pPr>
        <w:pStyle w:val="ListParagraph"/>
        <w:numPr>
          <w:ilvl w:val="1"/>
          <w:numId w:val="9"/>
        </w:numPr>
        <w:snapToGrid/>
        <w:spacing w:after="160" w:line="254" w:lineRule="auto"/>
        <w:jc w:val="left"/>
        <w:rPr>
          <w:rFonts w:asciiTheme="minorHAnsi" w:hAnsiTheme="minorHAnsi" w:cstheme="minorHAnsi"/>
          <w:b/>
          <w:i/>
          <w:iCs/>
          <w:sz w:val="20"/>
          <w:szCs w:val="20"/>
          <w:lang w:eastAsia="ja-JP"/>
        </w:rPr>
      </w:pPr>
      <w:r>
        <w:rPr>
          <w:rFonts w:asciiTheme="minorHAnsi" w:hAnsiTheme="minorHAnsi" w:cstheme="minorHAnsi"/>
          <w:i/>
          <w:iCs/>
          <w:sz w:val="20"/>
          <w:szCs w:val="20"/>
          <w:lang w:eastAsia="ja-JP"/>
        </w:rPr>
        <w:t>The per-CC and across-CC maximum number of CORESETs is not increased</w:t>
      </w:r>
    </w:p>
    <w:p w:rsidR="00631F6F" w:rsidRDefault="00023BC7">
      <w:pPr>
        <w:pStyle w:val="ListParagraph"/>
        <w:numPr>
          <w:ilvl w:val="2"/>
          <w:numId w:val="9"/>
        </w:numPr>
        <w:snapToGrid/>
        <w:spacing w:after="160" w:line="254" w:lineRule="auto"/>
        <w:jc w:val="left"/>
        <w:rPr>
          <w:rFonts w:asciiTheme="minorHAnsi" w:hAnsiTheme="minorHAnsi" w:cstheme="minorHAnsi"/>
          <w:bCs/>
          <w:i/>
          <w:iCs/>
          <w:sz w:val="20"/>
          <w:szCs w:val="20"/>
          <w:lang w:eastAsia="ja-JP"/>
        </w:rPr>
      </w:pPr>
      <w:r>
        <w:rPr>
          <w:rFonts w:asciiTheme="minorHAnsi" w:hAnsiTheme="minorHAnsi" w:cstheme="minorHAnsi"/>
          <w:bCs/>
          <w:i/>
          <w:iCs/>
          <w:sz w:val="20"/>
          <w:szCs w:val="20"/>
          <w:lang w:eastAsia="ja-JP"/>
        </w:rPr>
        <w:t xml:space="preserve"> When in the same slot, there is both PDCCH monitoring for Uu and PDCCH monitoring for SL for the same CC, the search space(s) for SL is configured to be the same or a subset of those for Uu for the same CC or vice versa</w:t>
      </w:r>
    </w:p>
    <w:p w:rsidR="00631F6F" w:rsidRDefault="00023BC7">
      <w:pPr>
        <w:pStyle w:val="ListParagraph"/>
        <w:numPr>
          <w:ilvl w:val="3"/>
          <w:numId w:val="9"/>
        </w:numPr>
        <w:snapToGrid/>
        <w:spacing w:after="0" w:line="254" w:lineRule="auto"/>
        <w:jc w:val="left"/>
        <w:rPr>
          <w:rFonts w:asciiTheme="minorHAnsi" w:hAnsiTheme="minorHAnsi" w:cstheme="minorHAnsi"/>
          <w:i/>
          <w:iCs/>
          <w:sz w:val="20"/>
          <w:szCs w:val="20"/>
          <w:u w:val="single"/>
          <w:lang w:val="x-none" w:eastAsia="ja-JP"/>
        </w:rPr>
      </w:pPr>
      <w:r>
        <w:rPr>
          <w:rFonts w:asciiTheme="minorHAnsi" w:hAnsiTheme="minorHAnsi" w:cstheme="minorHAnsi"/>
          <w:i/>
          <w:iCs/>
          <w:sz w:val="20"/>
          <w:szCs w:val="20"/>
          <w:u w:val="single"/>
          <w:lang w:eastAsia="ja-JP"/>
        </w:rPr>
        <w:lastRenderedPageBreak/>
        <w:t>A UE does not expect to receive in the same PDCCH monitoring occasion and the same scheduling cell PDCCH carrying a DL grant and PDCCH carrying a SL DG.</w:t>
      </w:r>
    </w:p>
    <w:p w:rsidR="00631F6F" w:rsidRDefault="00023BC7">
      <w:pPr>
        <w:pStyle w:val="ListParagraph"/>
        <w:numPr>
          <w:ilvl w:val="4"/>
          <w:numId w:val="9"/>
        </w:numPr>
        <w:snapToGrid/>
        <w:spacing w:after="0" w:line="254" w:lineRule="auto"/>
        <w:jc w:val="left"/>
        <w:rPr>
          <w:rFonts w:asciiTheme="minorHAnsi" w:hAnsiTheme="minorHAnsi" w:cstheme="minorHAnsi"/>
          <w:i/>
          <w:iCs/>
          <w:sz w:val="20"/>
          <w:szCs w:val="20"/>
          <w:u w:val="single"/>
          <w:lang w:val="x-none" w:eastAsia="ja-JP"/>
        </w:rPr>
      </w:pPr>
      <w:r>
        <w:rPr>
          <w:rFonts w:asciiTheme="minorHAnsi" w:hAnsiTheme="minorHAnsi" w:cstheme="minorHAnsi"/>
          <w:i/>
          <w:iCs/>
          <w:sz w:val="20"/>
          <w:szCs w:val="20"/>
          <w:u w:val="single"/>
          <w:lang w:eastAsia="ja-JP"/>
        </w:rPr>
        <w:t xml:space="preserve">FFS SL grant is limited to having SL HARQ FB enabled or not.  </w:t>
      </w:r>
    </w:p>
    <w:p w:rsidR="00631F6F" w:rsidRDefault="00023BC7">
      <w:pPr>
        <w:pStyle w:val="ListParagraph"/>
        <w:numPr>
          <w:ilvl w:val="4"/>
          <w:numId w:val="9"/>
        </w:numPr>
        <w:snapToGrid/>
        <w:spacing w:after="0" w:line="254" w:lineRule="auto"/>
        <w:jc w:val="left"/>
        <w:rPr>
          <w:rFonts w:asciiTheme="minorHAnsi" w:hAnsiTheme="minorHAnsi" w:cstheme="minorHAnsi"/>
          <w:i/>
          <w:iCs/>
          <w:sz w:val="20"/>
          <w:szCs w:val="20"/>
          <w:u w:val="single"/>
          <w:lang w:eastAsia="ja-JP"/>
        </w:rPr>
      </w:pPr>
      <w:r>
        <w:rPr>
          <w:rFonts w:asciiTheme="minorHAnsi" w:hAnsiTheme="minorHAnsi" w:cstheme="minorHAnsi"/>
          <w:i/>
          <w:iCs/>
          <w:sz w:val="20"/>
          <w:szCs w:val="20"/>
          <w:u w:val="single"/>
          <w:lang w:eastAsia="ja-JP"/>
        </w:rPr>
        <w:t>FFS for CG type-2 activation/deactivation</w:t>
      </w:r>
    </w:p>
    <w:p w:rsidR="00631F6F" w:rsidRDefault="00631F6F">
      <w:pPr>
        <w:pStyle w:val="ListParagraph"/>
        <w:spacing w:after="160" w:line="254" w:lineRule="auto"/>
        <w:ind w:left="720" w:firstLine="400"/>
        <w:rPr>
          <w:rFonts w:asciiTheme="minorHAnsi" w:hAnsiTheme="minorHAnsi" w:cstheme="minorHAnsi"/>
          <w:bCs/>
          <w:i/>
          <w:iCs/>
          <w:sz w:val="20"/>
          <w:szCs w:val="20"/>
          <w:lang w:eastAsia="ja-JP"/>
        </w:rPr>
      </w:pPr>
    </w:p>
    <w:p w:rsidR="00631F6F" w:rsidRDefault="00023BC7">
      <w:pPr>
        <w:rPr>
          <w:rFonts w:asciiTheme="minorHAnsi" w:hAnsiTheme="minorHAnsi" w:cstheme="minorHAnsi"/>
          <w:i/>
          <w:iCs/>
          <w:sz w:val="20"/>
          <w:szCs w:val="20"/>
          <w:lang w:eastAsia="x-none"/>
        </w:rPr>
      </w:pPr>
      <w:r>
        <w:rPr>
          <w:rFonts w:asciiTheme="minorHAnsi" w:hAnsiTheme="minorHAnsi" w:cstheme="minorHAnsi"/>
          <w:i/>
          <w:iCs/>
          <w:sz w:val="20"/>
          <w:szCs w:val="20"/>
          <w:highlight w:val="green"/>
          <w:lang w:eastAsia="x-none"/>
        </w:rPr>
        <w:t>Agreements</w:t>
      </w:r>
      <w:r>
        <w:rPr>
          <w:rFonts w:asciiTheme="minorHAnsi" w:hAnsiTheme="minorHAnsi" w:cstheme="minorHAnsi"/>
          <w:i/>
          <w:iCs/>
          <w:sz w:val="20"/>
          <w:szCs w:val="20"/>
          <w:lang w:eastAsia="x-none"/>
        </w:rPr>
        <w:t>:</w:t>
      </w:r>
    </w:p>
    <w:p w:rsidR="00631F6F" w:rsidRDefault="00023BC7">
      <w:pPr>
        <w:pStyle w:val="ListParagraph"/>
        <w:numPr>
          <w:ilvl w:val="0"/>
          <w:numId w:val="10"/>
        </w:numPr>
        <w:snapToGrid/>
        <w:spacing w:after="0" w:line="254" w:lineRule="auto"/>
        <w:jc w:val="left"/>
        <w:rPr>
          <w:rFonts w:asciiTheme="minorHAnsi" w:hAnsiTheme="minorHAnsi" w:cstheme="minorHAnsi"/>
          <w:bCs/>
          <w:i/>
          <w:iCs/>
          <w:sz w:val="20"/>
          <w:szCs w:val="20"/>
        </w:rPr>
      </w:pPr>
      <w:r>
        <w:rPr>
          <w:rFonts w:asciiTheme="minorHAnsi" w:hAnsiTheme="minorHAnsi" w:cstheme="minorHAnsi"/>
          <w:bCs/>
          <w:i/>
          <w:iCs/>
          <w:sz w:val="20"/>
          <w:szCs w:val="20"/>
        </w:rPr>
        <w:t xml:space="preserve">From RAN1 perspective, a configured grant for SL can carry a TB for which SL HARQ FB is enabled or disabled. </w:t>
      </w:r>
    </w:p>
    <w:p w:rsidR="00631F6F" w:rsidRDefault="00023BC7">
      <w:pPr>
        <w:pStyle w:val="ListParagraph"/>
        <w:numPr>
          <w:ilvl w:val="1"/>
          <w:numId w:val="10"/>
        </w:numPr>
        <w:snapToGrid/>
        <w:spacing w:after="0" w:line="254" w:lineRule="auto"/>
        <w:jc w:val="left"/>
        <w:rPr>
          <w:rFonts w:asciiTheme="minorHAnsi" w:hAnsiTheme="minorHAnsi" w:cstheme="minorHAnsi"/>
          <w:bCs/>
          <w:i/>
          <w:iCs/>
          <w:sz w:val="20"/>
          <w:szCs w:val="20"/>
        </w:rPr>
      </w:pPr>
      <w:r>
        <w:rPr>
          <w:rFonts w:asciiTheme="minorHAnsi" w:hAnsiTheme="minorHAnsi" w:cstheme="minorHAnsi"/>
          <w:bCs/>
          <w:i/>
          <w:iCs/>
          <w:sz w:val="20"/>
          <w:szCs w:val="20"/>
        </w:rPr>
        <w:t xml:space="preserve">For any CG, if there is a possibility to carry a TB with SL HARQ FB being enabled, there is always a corresponding PSFCH configuration </w:t>
      </w:r>
    </w:p>
    <w:p w:rsidR="00631F6F" w:rsidRDefault="00023BC7">
      <w:pPr>
        <w:pStyle w:val="ListParagraph"/>
        <w:numPr>
          <w:ilvl w:val="2"/>
          <w:numId w:val="10"/>
        </w:numPr>
        <w:snapToGrid/>
        <w:spacing w:after="0" w:line="254" w:lineRule="auto"/>
        <w:jc w:val="left"/>
        <w:rPr>
          <w:rFonts w:asciiTheme="minorHAnsi" w:hAnsiTheme="minorHAnsi" w:cstheme="minorHAnsi"/>
          <w:bCs/>
          <w:i/>
          <w:iCs/>
          <w:sz w:val="20"/>
          <w:szCs w:val="20"/>
        </w:rPr>
      </w:pPr>
      <w:r>
        <w:rPr>
          <w:rFonts w:asciiTheme="minorHAnsi" w:hAnsiTheme="minorHAnsi" w:cstheme="minorHAnsi"/>
          <w:bCs/>
          <w:i/>
          <w:iCs/>
          <w:sz w:val="20"/>
          <w:szCs w:val="20"/>
        </w:rPr>
        <w:t>A TB with SL HARQ FB is enabled can be carried by a CG only if there is a corresponding PSFCH configuration for the CG</w:t>
      </w:r>
    </w:p>
    <w:p w:rsidR="00631F6F" w:rsidRDefault="00023BC7">
      <w:pPr>
        <w:pStyle w:val="ListParagraph"/>
        <w:numPr>
          <w:ilvl w:val="1"/>
          <w:numId w:val="10"/>
        </w:numPr>
        <w:snapToGrid/>
        <w:spacing w:after="0" w:line="254" w:lineRule="auto"/>
        <w:jc w:val="left"/>
        <w:rPr>
          <w:rFonts w:asciiTheme="minorHAnsi" w:hAnsiTheme="minorHAnsi" w:cstheme="minorHAnsi"/>
          <w:bCs/>
          <w:i/>
          <w:iCs/>
          <w:sz w:val="20"/>
          <w:szCs w:val="20"/>
        </w:rPr>
      </w:pPr>
      <w:r>
        <w:rPr>
          <w:rFonts w:asciiTheme="minorHAnsi" w:hAnsiTheme="minorHAnsi" w:cstheme="minorHAnsi"/>
          <w:bCs/>
          <w:i/>
          <w:iCs/>
          <w:sz w:val="20"/>
          <w:szCs w:val="20"/>
        </w:rPr>
        <w:t>For a TB with SL HARQ FB is disabled, up to RAN2 how to utilize a CG for the transmission</w:t>
      </w:r>
    </w:p>
    <w:p w:rsidR="00631F6F" w:rsidRDefault="00023BC7">
      <w:pPr>
        <w:rPr>
          <w:rFonts w:asciiTheme="minorHAnsi" w:hAnsiTheme="minorHAnsi" w:cstheme="minorHAnsi"/>
          <w:i/>
          <w:iCs/>
          <w:sz w:val="20"/>
          <w:szCs w:val="20"/>
        </w:rPr>
      </w:pPr>
      <w:r>
        <w:rPr>
          <w:rFonts w:asciiTheme="minorHAnsi" w:hAnsiTheme="minorHAnsi" w:cstheme="minorHAnsi"/>
          <w:i/>
          <w:iCs/>
          <w:sz w:val="20"/>
          <w:szCs w:val="20"/>
          <w:highlight w:val="green"/>
        </w:rPr>
        <w:t>Agreements</w:t>
      </w:r>
      <w:r>
        <w:rPr>
          <w:rFonts w:asciiTheme="minorHAnsi" w:hAnsiTheme="minorHAnsi" w:cstheme="minorHAnsi"/>
          <w:i/>
          <w:iCs/>
          <w:sz w:val="20"/>
          <w:szCs w:val="20"/>
        </w:rPr>
        <w:t>:</w:t>
      </w:r>
    </w:p>
    <w:p w:rsidR="00631F6F" w:rsidRDefault="00023BC7">
      <w:pPr>
        <w:pStyle w:val="ListParagraph"/>
        <w:numPr>
          <w:ilvl w:val="0"/>
          <w:numId w:val="6"/>
        </w:numPr>
        <w:snapToGrid/>
        <w:spacing w:after="160" w:line="254" w:lineRule="auto"/>
        <w:jc w:val="left"/>
        <w:rPr>
          <w:rFonts w:asciiTheme="minorHAnsi" w:hAnsiTheme="minorHAnsi" w:cstheme="minorHAnsi"/>
          <w:i/>
          <w:iCs/>
          <w:sz w:val="20"/>
          <w:szCs w:val="20"/>
          <w:lang w:eastAsia="ja-JP"/>
        </w:rPr>
      </w:pPr>
      <w:r>
        <w:rPr>
          <w:rFonts w:asciiTheme="minorHAnsi" w:hAnsiTheme="minorHAnsi" w:cstheme="minorHAnsi"/>
          <w:i/>
          <w:iCs/>
          <w:sz w:val="20"/>
          <w:szCs w:val="20"/>
          <w:lang w:eastAsia="ja-JP"/>
        </w:rPr>
        <w:t xml:space="preserve">For dynamic grant, DCI contains HARQ ID and NDI. </w:t>
      </w:r>
    </w:p>
    <w:p w:rsidR="00631F6F" w:rsidRDefault="00023BC7">
      <w:pPr>
        <w:rPr>
          <w:rFonts w:asciiTheme="minorHAnsi" w:hAnsiTheme="minorHAnsi" w:cstheme="minorHAnsi"/>
          <w:i/>
          <w:iCs/>
          <w:sz w:val="20"/>
          <w:szCs w:val="20"/>
        </w:rPr>
      </w:pPr>
      <w:r>
        <w:rPr>
          <w:rFonts w:asciiTheme="minorHAnsi" w:hAnsiTheme="minorHAnsi" w:cstheme="minorHAnsi"/>
          <w:i/>
          <w:iCs/>
          <w:sz w:val="20"/>
          <w:szCs w:val="20"/>
          <w:highlight w:val="green"/>
        </w:rPr>
        <w:t>Agreements</w:t>
      </w:r>
      <w:r>
        <w:rPr>
          <w:rFonts w:asciiTheme="minorHAnsi" w:hAnsiTheme="minorHAnsi" w:cstheme="minorHAnsi"/>
          <w:i/>
          <w:iCs/>
          <w:sz w:val="20"/>
          <w:szCs w:val="20"/>
        </w:rPr>
        <w:t>:</w:t>
      </w:r>
    </w:p>
    <w:p w:rsidR="00631F6F" w:rsidRDefault="00023BC7">
      <w:pPr>
        <w:pStyle w:val="ListParagraph"/>
        <w:numPr>
          <w:ilvl w:val="0"/>
          <w:numId w:val="6"/>
        </w:numPr>
        <w:snapToGrid/>
        <w:spacing w:after="0" w:line="254" w:lineRule="auto"/>
        <w:jc w:val="left"/>
        <w:rPr>
          <w:rFonts w:asciiTheme="minorHAnsi" w:hAnsiTheme="minorHAnsi" w:cstheme="minorHAnsi"/>
          <w:i/>
          <w:iCs/>
          <w:sz w:val="20"/>
          <w:szCs w:val="20"/>
          <w:lang w:eastAsia="ja-JP"/>
        </w:rPr>
      </w:pPr>
      <w:r>
        <w:rPr>
          <w:rFonts w:asciiTheme="minorHAnsi" w:hAnsiTheme="minorHAnsi" w:cstheme="minorHAnsi"/>
          <w:i/>
          <w:iCs/>
          <w:sz w:val="20"/>
          <w:szCs w:val="20"/>
          <w:lang w:eastAsia="ja-JP"/>
        </w:rPr>
        <w:t>For dynamic grant, DCI indicates the time-frequency resource allocation with the signalling format used for SCI.</w:t>
      </w:r>
    </w:p>
    <w:p w:rsidR="00631F6F" w:rsidRDefault="00023BC7">
      <w:pPr>
        <w:pStyle w:val="ListParagraph"/>
        <w:numPr>
          <w:ilvl w:val="1"/>
          <w:numId w:val="6"/>
        </w:numPr>
        <w:snapToGrid/>
        <w:spacing w:after="0" w:line="254" w:lineRule="auto"/>
        <w:jc w:val="left"/>
        <w:rPr>
          <w:rFonts w:asciiTheme="minorHAnsi" w:hAnsiTheme="minorHAnsi" w:cstheme="minorHAnsi"/>
          <w:i/>
          <w:iCs/>
          <w:sz w:val="20"/>
          <w:szCs w:val="20"/>
          <w:lang w:eastAsia="ja-JP"/>
        </w:rPr>
      </w:pPr>
      <w:r>
        <w:rPr>
          <w:rFonts w:asciiTheme="minorHAnsi" w:hAnsiTheme="minorHAnsi" w:cstheme="minorHAnsi"/>
          <w:i/>
          <w:iCs/>
          <w:sz w:val="20"/>
          <w:szCs w:val="20"/>
          <w:lang w:eastAsia="ja-JP"/>
        </w:rPr>
        <w:t>In addition, the starting sub-channel for initial transmission is signalled in DCI.</w:t>
      </w:r>
    </w:p>
    <w:p w:rsidR="00631F6F" w:rsidRDefault="00631F6F">
      <w:pPr>
        <w:rPr>
          <w:rFonts w:asciiTheme="minorHAnsi" w:hAnsiTheme="minorHAnsi" w:cstheme="minorHAnsi"/>
          <w:b/>
          <w:bCs/>
          <w:i/>
          <w:iCs/>
          <w:sz w:val="20"/>
          <w:szCs w:val="20"/>
        </w:rPr>
      </w:pPr>
    </w:p>
    <w:p w:rsidR="00631F6F" w:rsidRDefault="00023BC7">
      <w:pPr>
        <w:rPr>
          <w:rFonts w:asciiTheme="minorHAnsi" w:hAnsiTheme="minorHAnsi" w:cstheme="minorHAnsi"/>
          <w:i/>
          <w:iCs/>
          <w:sz w:val="20"/>
          <w:szCs w:val="20"/>
        </w:rPr>
      </w:pPr>
      <w:r>
        <w:rPr>
          <w:rFonts w:asciiTheme="minorHAnsi" w:hAnsiTheme="minorHAnsi" w:cstheme="minorHAnsi"/>
          <w:i/>
          <w:iCs/>
          <w:sz w:val="20"/>
          <w:szCs w:val="20"/>
          <w:highlight w:val="green"/>
        </w:rPr>
        <w:t>Agreements</w:t>
      </w:r>
      <w:r>
        <w:rPr>
          <w:rFonts w:asciiTheme="minorHAnsi" w:hAnsiTheme="minorHAnsi" w:cstheme="minorHAnsi"/>
          <w:i/>
          <w:iCs/>
          <w:sz w:val="20"/>
          <w:szCs w:val="20"/>
        </w:rPr>
        <w:t>:</w:t>
      </w:r>
    </w:p>
    <w:p w:rsidR="00631F6F" w:rsidRDefault="00023BC7">
      <w:pPr>
        <w:pStyle w:val="ListParagraph"/>
        <w:numPr>
          <w:ilvl w:val="0"/>
          <w:numId w:val="10"/>
        </w:numPr>
        <w:snapToGrid/>
        <w:spacing w:after="0" w:line="254" w:lineRule="auto"/>
        <w:jc w:val="left"/>
        <w:rPr>
          <w:rFonts w:asciiTheme="minorHAnsi" w:hAnsiTheme="minorHAnsi" w:cstheme="minorHAnsi"/>
          <w:i/>
          <w:iCs/>
          <w:sz w:val="20"/>
          <w:szCs w:val="20"/>
        </w:rPr>
      </w:pPr>
      <w:r>
        <w:rPr>
          <w:rFonts w:asciiTheme="minorHAnsi" w:hAnsiTheme="minorHAnsi" w:cstheme="minorHAnsi"/>
          <w:i/>
          <w:iCs/>
          <w:sz w:val="20"/>
          <w:szCs w:val="20"/>
        </w:rPr>
        <w:t>To provide additional resources for retransmission upon receiving a SL NACK report, a dynamic grant is used.</w:t>
      </w:r>
    </w:p>
    <w:p w:rsidR="00631F6F" w:rsidRDefault="00023BC7">
      <w:pPr>
        <w:pStyle w:val="ListParagraph"/>
        <w:numPr>
          <w:ilvl w:val="1"/>
          <w:numId w:val="10"/>
        </w:numPr>
        <w:snapToGrid/>
        <w:spacing w:after="0" w:line="254" w:lineRule="auto"/>
        <w:jc w:val="left"/>
        <w:rPr>
          <w:rFonts w:asciiTheme="minorHAnsi" w:hAnsiTheme="minorHAnsi" w:cstheme="minorHAnsi"/>
          <w:i/>
          <w:iCs/>
          <w:sz w:val="20"/>
          <w:szCs w:val="20"/>
        </w:rPr>
      </w:pPr>
      <w:r>
        <w:rPr>
          <w:rFonts w:asciiTheme="minorHAnsi" w:hAnsiTheme="minorHAnsi" w:cstheme="minorHAnsi"/>
          <w:i/>
          <w:iCs/>
          <w:sz w:val="20"/>
          <w:szCs w:val="20"/>
        </w:rPr>
        <w:t>When the initial transmission of a TB is scheduled by a dynamic grant, the CRC of the DCI carrying the dynamic grant is scrambled using the SL RNTI introduced for DCI for a dynamic grant.</w:t>
      </w:r>
    </w:p>
    <w:p w:rsidR="00631F6F" w:rsidRDefault="00023BC7">
      <w:pPr>
        <w:pStyle w:val="ListParagraph"/>
        <w:numPr>
          <w:ilvl w:val="2"/>
          <w:numId w:val="10"/>
        </w:numPr>
        <w:snapToGrid/>
        <w:spacing w:after="0" w:line="254" w:lineRule="auto"/>
        <w:jc w:val="left"/>
        <w:rPr>
          <w:rFonts w:asciiTheme="minorHAnsi" w:hAnsiTheme="minorHAnsi" w:cstheme="minorHAnsi"/>
          <w:i/>
          <w:iCs/>
          <w:sz w:val="20"/>
          <w:szCs w:val="20"/>
        </w:rPr>
      </w:pPr>
      <w:r>
        <w:rPr>
          <w:rFonts w:asciiTheme="minorHAnsi" w:hAnsiTheme="minorHAnsi" w:cstheme="minorHAnsi"/>
          <w:i/>
          <w:iCs/>
          <w:sz w:val="20"/>
          <w:szCs w:val="20"/>
        </w:rPr>
        <w:t>The interpretation of NDI is the same as for Uu for retransmission scheduled by DCI with CRC scrambled by C-RNTI</w:t>
      </w:r>
    </w:p>
    <w:p w:rsidR="00631F6F" w:rsidRDefault="00023BC7">
      <w:pPr>
        <w:pStyle w:val="ListParagraph"/>
        <w:numPr>
          <w:ilvl w:val="1"/>
          <w:numId w:val="10"/>
        </w:numPr>
        <w:snapToGrid/>
        <w:spacing w:after="0" w:line="254" w:lineRule="auto"/>
        <w:jc w:val="left"/>
        <w:rPr>
          <w:rFonts w:asciiTheme="minorHAnsi" w:hAnsiTheme="minorHAnsi" w:cstheme="minorHAnsi"/>
          <w:i/>
          <w:iCs/>
          <w:sz w:val="20"/>
          <w:szCs w:val="20"/>
        </w:rPr>
      </w:pPr>
      <w:r>
        <w:rPr>
          <w:rFonts w:asciiTheme="minorHAnsi" w:hAnsiTheme="minorHAnsi" w:cstheme="minorHAnsi"/>
          <w:i/>
          <w:iCs/>
          <w:sz w:val="20"/>
          <w:szCs w:val="20"/>
        </w:rPr>
        <w:t>When the initial transmission of a TB is scheduled by a configured grant (type-1 or type-2), the CRC of the DCI carrying the dynamic grant is scrambled using the SL RNTI introduced for DCI for a configured grant type-2.</w:t>
      </w:r>
    </w:p>
    <w:p w:rsidR="00631F6F" w:rsidRDefault="00023BC7">
      <w:pPr>
        <w:pStyle w:val="ListParagraph"/>
        <w:numPr>
          <w:ilvl w:val="2"/>
          <w:numId w:val="10"/>
        </w:numPr>
        <w:snapToGrid/>
        <w:spacing w:after="0" w:line="254" w:lineRule="auto"/>
        <w:jc w:val="left"/>
        <w:rPr>
          <w:rFonts w:asciiTheme="minorHAnsi" w:hAnsiTheme="minorHAnsi" w:cstheme="minorHAnsi"/>
          <w:i/>
          <w:iCs/>
          <w:sz w:val="20"/>
          <w:szCs w:val="20"/>
          <w:lang w:val="x-none"/>
        </w:rPr>
      </w:pPr>
      <w:r>
        <w:rPr>
          <w:rFonts w:asciiTheme="minorHAnsi" w:hAnsiTheme="minorHAnsi" w:cstheme="minorHAnsi"/>
          <w:i/>
          <w:iCs/>
          <w:sz w:val="20"/>
          <w:szCs w:val="20"/>
        </w:rPr>
        <w:t>For interpretation of NDI, the Uu behavior for retransmission scheduled by DCI with CRC scrambled by CS-RNTI is reused.</w:t>
      </w:r>
    </w:p>
    <w:p w:rsidR="00631F6F" w:rsidRDefault="00023BC7">
      <w:pPr>
        <w:pStyle w:val="ListParagraph"/>
        <w:numPr>
          <w:ilvl w:val="1"/>
          <w:numId w:val="10"/>
        </w:numPr>
        <w:snapToGrid/>
        <w:spacing w:after="0" w:line="254" w:lineRule="auto"/>
        <w:jc w:val="left"/>
        <w:rPr>
          <w:rFonts w:asciiTheme="minorHAnsi" w:hAnsiTheme="minorHAnsi" w:cstheme="minorHAnsi"/>
          <w:i/>
          <w:iCs/>
          <w:sz w:val="20"/>
          <w:szCs w:val="20"/>
        </w:rPr>
      </w:pPr>
      <w:r>
        <w:rPr>
          <w:rFonts w:asciiTheme="minorHAnsi" w:hAnsiTheme="minorHAnsi" w:cstheme="minorHAnsi"/>
          <w:i/>
          <w:iCs/>
          <w:sz w:val="20"/>
          <w:szCs w:val="20"/>
        </w:rPr>
        <w:t>(</w:t>
      </w:r>
      <w:r>
        <w:rPr>
          <w:rFonts w:asciiTheme="minorHAnsi" w:hAnsiTheme="minorHAnsi" w:cstheme="minorHAnsi"/>
          <w:i/>
          <w:iCs/>
          <w:sz w:val="20"/>
          <w:szCs w:val="20"/>
          <w:highlight w:val="darkYellow"/>
        </w:rPr>
        <w:t>working assumption</w:t>
      </w:r>
      <w:r>
        <w:rPr>
          <w:rFonts w:asciiTheme="minorHAnsi" w:hAnsiTheme="minorHAnsi" w:cstheme="minorHAnsi"/>
          <w:i/>
          <w:iCs/>
          <w:sz w:val="20"/>
          <w:szCs w:val="20"/>
        </w:rPr>
        <w:t>) The HARQ ID is used to identify the TB for which resources for retransmission are provided (subject to the indication of re-transmission via NDI)</w:t>
      </w:r>
    </w:p>
    <w:p w:rsidR="00631F6F" w:rsidRDefault="00023BC7">
      <w:pPr>
        <w:rPr>
          <w:rFonts w:asciiTheme="minorHAnsi" w:hAnsiTheme="minorHAnsi" w:cstheme="minorHAnsi"/>
          <w:i/>
          <w:iCs/>
          <w:sz w:val="20"/>
          <w:szCs w:val="20"/>
        </w:rPr>
      </w:pPr>
      <w:r>
        <w:rPr>
          <w:rFonts w:asciiTheme="minorHAnsi" w:hAnsiTheme="minorHAnsi" w:cstheme="minorHAnsi"/>
          <w:i/>
          <w:iCs/>
          <w:sz w:val="20"/>
          <w:szCs w:val="20"/>
          <w:highlight w:val="green"/>
        </w:rPr>
        <w:t>Agreements</w:t>
      </w:r>
      <w:r>
        <w:rPr>
          <w:rFonts w:asciiTheme="minorHAnsi" w:hAnsiTheme="minorHAnsi" w:cstheme="minorHAnsi"/>
          <w:i/>
          <w:iCs/>
          <w:sz w:val="20"/>
          <w:szCs w:val="20"/>
        </w:rPr>
        <w:t>:</w:t>
      </w:r>
    </w:p>
    <w:p w:rsidR="00631F6F" w:rsidRDefault="00023BC7">
      <w:pPr>
        <w:pStyle w:val="ListParagraph"/>
        <w:numPr>
          <w:ilvl w:val="0"/>
          <w:numId w:val="11"/>
        </w:numPr>
        <w:snapToGrid/>
        <w:spacing w:after="160" w:line="254" w:lineRule="auto"/>
        <w:jc w:val="left"/>
        <w:rPr>
          <w:rFonts w:asciiTheme="minorHAnsi" w:hAnsiTheme="minorHAnsi" w:cstheme="minorHAnsi"/>
          <w:i/>
          <w:iCs/>
          <w:sz w:val="20"/>
          <w:szCs w:val="20"/>
          <w:lang w:val="x-none"/>
        </w:rPr>
      </w:pPr>
      <w:r>
        <w:rPr>
          <w:rFonts w:asciiTheme="minorHAnsi" w:hAnsiTheme="minorHAnsi" w:cstheme="minorHAnsi"/>
          <w:i/>
          <w:iCs/>
          <w:sz w:val="20"/>
          <w:szCs w:val="20"/>
        </w:rPr>
        <w:t>For dynamic grant, the number of retransmissions of a TB is up to the gNB.</w:t>
      </w:r>
    </w:p>
    <w:p w:rsidR="00631F6F" w:rsidRDefault="00023BC7">
      <w:pPr>
        <w:pStyle w:val="ListParagraph"/>
        <w:numPr>
          <w:ilvl w:val="0"/>
          <w:numId w:val="11"/>
        </w:numPr>
        <w:snapToGrid/>
        <w:spacing w:after="160" w:line="254" w:lineRule="auto"/>
        <w:jc w:val="left"/>
        <w:rPr>
          <w:rFonts w:asciiTheme="minorHAnsi" w:hAnsiTheme="minorHAnsi" w:cstheme="minorHAnsi"/>
          <w:i/>
          <w:iCs/>
          <w:sz w:val="20"/>
          <w:szCs w:val="20"/>
          <w:lang w:val="x-none"/>
        </w:rPr>
      </w:pPr>
      <w:r>
        <w:rPr>
          <w:rFonts w:asciiTheme="minorHAnsi" w:hAnsiTheme="minorHAnsi" w:cstheme="minorHAnsi"/>
          <w:i/>
          <w:iCs/>
          <w:sz w:val="20"/>
          <w:szCs w:val="20"/>
        </w:rPr>
        <w:t>For configured grant, the maximum number of times that a TB can be retransmitted using the resources provided by the configured grant is configured per priority per configured grant.</w:t>
      </w:r>
    </w:p>
    <w:p w:rsidR="00631F6F" w:rsidRDefault="00631F6F">
      <w:pPr>
        <w:rPr>
          <w:rFonts w:asciiTheme="minorHAnsi" w:hAnsiTheme="minorHAnsi" w:cstheme="minorHAnsi"/>
          <w:i/>
          <w:iCs/>
          <w:sz w:val="20"/>
          <w:szCs w:val="20"/>
          <w:highlight w:val="yellow"/>
          <w:lang w:val="x-none"/>
        </w:rPr>
      </w:pPr>
    </w:p>
    <w:p w:rsidR="00631F6F" w:rsidRDefault="00023BC7">
      <w:pPr>
        <w:rPr>
          <w:rFonts w:asciiTheme="minorHAnsi" w:hAnsiTheme="minorHAnsi" w:cstheme="minorHAnsi"/>
          <w:i/>
          <w:iCs/>
          <w:sz w:val="20"/>
          <w:szCs w:val="20"/>
          <w:highlight w:val="darkYellow"/>
        </w:rPr>
      </w:pPr>
      <w:r>
        <w:rPr>
          <w:rFonts w:asciiTheme="minorHAnsi" w:hAnsiTheme="minorHAnsi" w:cstheme="minorHAnsi"/>
          <w:i/>
          <w:iCs/>
          <w:sz w:val="20"/>
          <w:szCs w:val="20"/>
          <w:highlight w:val="darkYellow"/>
        </w:rPr>
        <w:t>Working assumption:</w:t>
      </w:r>
    </w:p>
    <w:p w:rsidR="00631F6F" w:rsidRDefault="00023BC7">
      <w:pPr>
        <w:pStyle w:val="ListParagraph"/>
        <w:numPr>
          <w:ilvl w:val="0"/>
          <w:numId w:val="8"/>
        </w:numPr>
        <w:snapToGrid/>
        <w:spacing w:after="160" w:line="254" w:lineRule="auto"/>
        <w:jc w:val="left"/>
        <w:rPr>
          <w:rFonts w:asciiTheme="minorHAnsi" w:hAnsiTheme="minorHAnsi" w:cstheme="minorHAnsi"/>
          <w:bCs/>
          <w:i/>
          <w:iCs/>
          <w:sz w:val="20"/>
          <w:szCs w:val="20"/>
          <w:lang w:eastAsia="ja-JP"/>
        </w:rPr>
      </w:pPr>
      <w:r>
        <w:rPr>
          <w:rFonts w:asciiTheme="minorHAnsi" w:hAnsiTheme="minorHAnsi" w:cstheme="minorHAnsi"/>
          <w:bCs/>
          <w:i/>
          <w:iCs/>
          <w:sz w:val="20"/>
          <w:szCs w:val="20"/>
          <w:lang w:eastAsia="ja-JP"/>
        </w:rPr>
        <w:t xml:space="preserve">The timing of the PUCCH used for conveying SL HARQ is indicated in DCI or RRC (only for transmissions without a DCI) in terms of PSFCH-to-PUCCH physical slots, where the slot duration is defined based on the PUCCH SCS. </w:t>
      </w:r>
    </w:p>
    <w:p w:rsidR="00631F6F" w:rsidRDefault="00023BC7">
      <w:pPr>
        <w:pStyle w:val="ListParagraph"/>
        <w:numPr>
          <w:ilvl w:val="1"/>
          <w:numId w:val="8"/>
        </w:numPr>
        <w:snapToGrid/>
        <w:spacing w:after="160" w:line="254" w:lineRule="auto"/>
        <w:jc w:val="left"/>
        <w:rPr>
          <w:rFonts w:asciiTheme="minorHAnsi" w:hAnsiTheme="minorHAnsi" w:cstheme="minorHAnsi"/>
          <w:bCs/>
          <w:i/>
          <w:iCs/>
          <w:sz w:val="20"/>
          <w:szCs w:val="20"/>
          <w:lang w:eastAsia="ja-JP"/>
        </w:rPr>
      </w:pPr>
      <w:r>
        <w:rPr>
          <w:rFonts w:asciiTheme="minorHAnsi" w:hAnsiTheme="minorHAnsi" w:cstheme="minorHAnsi"/>
          <w:bCs/>
          <w:i/>
          <w:iCs/>
          <w:sz w:val="20"/>
          <w:szCs w:val="20"/>
          <w:lang w:eastAsia="ja-JP"/>
        </w:rPr>
        <w:t>Note: it is not intended to define any new sync requirements for gNBs</w:t>
      </w:r>
      <w:bookmarkStart w:id="3" w:name="_Hlk25254457"/>
      <w:bookmarkEnd w:id="3"/>
    </w:p>
    <w:p w:rsidR="00631F6F" w:rsidRDefault="00023BC7">
      <w:pPr>
        <w:rPr>
          <w:rFonts w:asciiTheme="minorHAnsi" w:hAnsiTheme="minorHAnsi" w:cstheme="minorHAnsi"/>
          <w:i/>
          <w:iCs/>
          <w:sz w:val="20"/>
          <w:szCs w:val="20"/>
        </w:rPr>
      </w:pPr>
      <w:r>
        <w:rPr>
          <w:rFonts w:asciiTheme="minorHAnsi" w:hAnsiTheme="minorHAnsi" w:cstheme="minorHAnsi"/>
          <w:b/>
          <w:bCs/>
          <w:i/>
          <w:iCs/>
          <w:sz w:val="20"/>
          <w:szCs w:val="20"/>
          <w:u w:val="single"/>
        </w:rPr>
        <w:lastRenderedPageBreak/>
        <w:t>Conclusion</w:t>
      </w:r>
      <w:r>
        <w:rPr>
          <w:rFonts w:asciiTheme="minorHAnsi" w:hAnsiTheme="minorHAnsi" w:cstheme="minorHAnsi"/>
          <w:i/>
          <w:iCs/>
          <w:sz w:val="20"/>
          <w:szCs w:val="20"/>
        </w:rPr>
        <w:t>:</w:t>
      </w:r>
    </w:p>
    <w:p w:rsidR="00631F6F" w:rsidRDefault="00023BC7">
      <w:pPr>
        <w:numPr>
          <w:ilvl w:val="0"/>
          <w:numId w:val="8"/>
        </w:numPr>
        <w:snapToGrid/>
        <w:spacing w:after="0"/>
        <w:jc w:val="left"/>
        <w:rPr>
          <w:rFonts w:asciiTheme="minorHAnsi" w:hAnsiTheme="minorHAnsi" w:cstheme="minorHAnsi"/>
          <w:i/>
          <w:iCs/>
          <w:sz w:val="20"/>
          <w:szCs w:val="20"/>
        </w:rPr>
      </w:pPr>
      <w:r>
        <w:rPr>
          <w:rFonts w:asciiTheme="minorHAnsi" w:hAnsiTheme="minorHAnsi" w:cstheme="minorHAnsi"/>
          <w:i/>
          <w:iCs/>
          <w:sz w:val="20"/>
          <w:szCs w:val="20"/>
        </w:rPr>
        <w:t>No support of multiplexing of SL HARQ and Uu UCI on PUCCH or PUSCH in Rel-16</w:t>
      </w:r>
    </w:p>
    <w:p w:rsidR="00631F6F" w:rsidRDefault="00023BC7">
      <w:pPr>
        <w:numPr>
          <w:ilvl w:val="1"/>
          <w:numId w:val="8"/>
        </w:numPr>
        <w:snapToGrid/>
        <w:spacing w:after="0"/>
        <w:jc w:val="left"/>
        <w:rPr>
          <w:rFonts w:asciiTheme="minorHAnsi" w:hAnsiTheme="minorHAnsi" w:cstheme="minorHAnsi"/>
          <w:i/>
          <w:iCs/>
          <w:sz w:val="20"/>
          <w:szCs w:val="20"/>
        </w:rPr>
      </w:pPr>
      <w:r>
        <w:rPr>
          <w:rFonts w:asciiTheme="minorHAnsi" w:hAnsiTheme="minorHAnsi" w:cstheme="minorHAnsi"/>
          <w:i/>
          <w:iCs/>
          <w:sz w:val="20"/>
          <w:szCs w:val="20"/>
        </w:rPr>
        <w:t>Note: this reverts the agreements made during RAN1#98b email discussion</w:t>
      </w:r>
    </w:p>
    <w:p w:rsidR="00631F6F" w:rsidRDefault="00631F6F">
      <w:pPr>
        <w:rPr>
          <w:rFonts w:asciiTheme="minorHAnsi" w:hAnsiTheme="minorHAnsi" w:cstheme="minorHAnsi"/>
          <w:i/>
          <w:iCs/>
          <w:sz w:val="20"/>
          <w:szCs w:val="20"/>
        </w:rPr>
      </w:pPr>
    </w:p>
    <w:p w:rsidR="00631F6F" w:rsidRDefault="00631F6F">
      <w:pPr>
        <w:rPr>
          <w:rFonts w:asciiTheme="minorHAnsi" w:hAnsiTheme="minorHAnsi" w:cstheme="minorHAnsi"/>
          <w:i/>
          <w:iCs/>
          <w:sz w:val="20"/>
          <w:szCs w:val="20"/>
        </w:rPr>
      </w:pPr>
    </w:p>
    <w:p w:rsidR="00631F6F" w:rsidRDefault="00023BC7">
      <w:pPr>
        <w:rPr>
          <w:rFonts w:asciiTheme="minorHAnsi" w:hAnsiTheme="minorHAnsi" w:cstheme="minorHAnsi"/>
          <w:i/>
          <w:iCs/>
          <w:sz w:val="20"/>
          <w:szCs w:val="20"/>
          <w:highlight w:val="green"/>
        </w:rPr>
      </w:pPr>
      <w:r>
        <w:rPr>
          <w:rFonts w:asciiTheme="minorHAnsi" w:hAnsiTheme="minorHAnsi" w:cstheme="minorHAnsi"/>
          <w:i/>
          <w:iCs/>
          <w:sz w:val="20"/>
          <w:szCs w:val="20"/>
          <w:highlight w:val="green"/>
        </w:rPr>
        <w:t>Agreements:</w:t>
      </w:r>
    </w:p>
    <w:p w:rsidR="00631F6F" w:rsidRDefault="00023BC7">
      <w:pPr>
        <w:pStyle w:val="ListParagraph"/>
        <w:numPr>
          <w:ilvl w:val="0"/>
          <w:numId w:val="10"/>
        </w:numPr>
        <w:snapToGrid/>
        <w:spacing w:after="0" w:line="252" w:lineRule="auto"/>
        <w:jc w:val="left"/>
        <w:rPr>
          <w:rFonts w:asciiTheme="minorHAnsi" w:hAnsiTheme="minorHAnsi" w:cstheme="minorHAnsi"/>
          <w:i/>
          <w:iCs/>
          <w:sz w:val="20"/>
          <w:szCs w:val="20"/>
        </w:rPr>
      </w:pPr>
      <w:r>
        <w:rPr>
          <w:rFonts w:asciiTheme="minorHAnsi" w:hAnsiTheme="minorHAnsi" w:cstheme="minorHAnsi"/>
          <w:i/>
          <w:iCs/>
          <w:sz w:val="20"/>
          <w:szCs w:val="20"/>
        </w:rPr>
        <w:t>For dynamic grant and CG:</w:t>
      </w:r>
    </w:p>
    <w:p w:rsidR="00631F6F" w:rsidRDefault="00023BC7">
      <w:pPr>
        <w:pStyle w:val="ListParagraph"/>
        <w:numPr>
          <w:ilvl w:val="1"/>
          <w:numId w:val="10"/>
        </w:numPr>
        <w:snapToGrid/>
        <w:spacing w:after="0" w:line="252" w:lineRule="auto"/>
        <w:jc w:val="left"/>
        <w:rPr>
          <w:rFonts w:asciiTheme="minorHAnsi" w:hAnsiTheme="minorHAnsi" w:cstheme="minorHAnsi"/>
          <w:i/>
          <w:iCs/>
          <w:sz w:val="20"/>
          <w:szCs w:val="20"/>
        </w:rPr>
      </w:pPr>
      <w:r>
        <w:rPr>
          <w:rFonts w:asciiTheme="minorHAnsi" w:hAnsiTheme="minorHAnsi" w:cstheme="minorHAnsi"/>
          <w:i/>
          <w:iCs/>
          <w:sz w:val="20"/>
          <w:szCs w:val="20"/>
        </w:rPr>
        <w:t>If the gNB provides PUCCH resources for feedback, the UE reports SL HARQ FB to the gNB</w:t>
      </w:r>
    </w:p>
    <w:p w:rsidR="00631F6F" w:rsidRDefault="00023BC7">
      <w:pPr>
        <w:pStyle w:val="ListParagraph"/>
        <w:numPr>
          <w:ilvl w:val="1"/>
          <w:numId w:val="10"/>
        </w:numPr>
        <w:snapToGrid/>
        <w:spacing w:after="0" w:line="252" w:lineRule="auto"/>
        <w:jc w:val="left"/>
        <w:rPr>
          <w:rFonts w:asciiTheme="minorHAnsi" w:hAnsiTheme="minorHAnsi" w:cstheme="minorHAnsi"/>
          <w:i/>
          <w:iCs/>
          <w:sz w:val="20"/>
          <w:szCs w:val="20"/>
          <w:lang w:val="x-none"/>
        </w:rPr>
      </w:pPr>
      <w:r>
        <w:rPr>
          <w:rFonts w:asciiTheme="minorHAnsi" w:hAnsiTheme="minorHAnsi" w:cstheme="minorHAnsi"/>
          <w:i/>
          <w:iCs/>
          <w:sz w:val="20"/>
          <w:szCs w:val="20"/>
        </w:rPr>
        <w:t>If the gNB does not provides PUCCH resources for feedback, the UE does not report SL HARQ FB to the gNB</w:t>
      </w:r>
    </w:p>
    <w:p w:rsidR="00631F6F" w:rsidRDefault="00023BC7">
      <w:pPr>
        <w:rPr>
          <w:rFonts w:asciiTheme="minorHAnsi" w:hAnsiTheme="minorHAnsi" w:cstheme="minorHAnsi"/>
          <w:i/>
          <w:iCs/>
          <w:sz w:val="20"/>
          <w:szCs w:val="20"/>
          <w:highlight w:val="green"/>
        </w:rPr>
      </w:pPr>
      <w:r>
        <w:rPr>
          <w:rFonts w:asciiTheme="minorHAnsi" w:hAnsiTheme="minorHAnsi" w:cstheme="minorHAnsi"/>
          <w:i/>
          <w:iCs/>
          <w:sz w:val="20"/>
          <w:szCs w:val="20"/>
          <w:highlight w:val="green"/>
        </w:rPr>
        <w:t>Agreements:</w:t>
      </w:r>
    </w:p>
    <w:p w:rsidR="00631F6F" w:rsidRDefault="00023BC7">
      <w:pPr>
        <w:numPr>
          <w:ilvl w:val="0"/>
          <w:numId w:val="12"/>
        </w:numPr>
        <w:snapToGrid/>
        <w:spacing w:after="0"/>
        <w:jc w:val="left"/>
        <w:rPr>
          <w:rFonts w:asciiTheme="minorHAnsi" w:hAnsiTheme="minorHAnsi" w:cstheme="minorHAnsi"/>
          <w:i/>
          <w:iCs/>
          <w:sz w:val="20"/>
          <w:szCs w:val="20"/>
        </w:rPr>
      </w:pPr>
      <w:r>
        <w:rPr>
          <w:rFonts w:asciiTheme="minorHAnsi" w:hAnsiTheme="minorHAnsi" w:cstheme="minorHAnsi"/>
          <w:i/>
          <w:iCs/>
          <w:sz w:val="20"/>
          <w:szCs w:val="20"/>
        </w:rPr>
        <w:t>For case of DG and type 2 CG: one combination of “timing and resource for PUCCH” is used to indicate that PUCCH resource is not provided</w:t>
      </w:r>
    </w:p>
    <w:p w:rsidR="00631F6F" w:rsidRDefault="00023BC7">
      <w:pPr>
        <w:numPr>
          <w:ilvl w:val="0"/>
          <w:numId w:val="12"/>
        </w:numPr>
        <w:snapToGrid/>
        <w:spacing w:after="0"/>
        <w:jc w:val="left"/>
        <w:rPr>
          <w:rFonts w:asciiTheme="minorHAnsi" w:hAnsiTheme="minorHAnsi" w:cstheme="minorHAnsi"/>
          <w:i/>
          <w:iCs/>
          <w:sz w:val="20"/>
          <w:szCs w:val="20"/>
        </w:rPr>
      </w:pPr>
      <w:r>
        <w:rPr>
          <w:rFonts w:asciiTheme="minorHAnsi" w:hAnsiTheme="minorHAnsi" w:cstheme="minorHAnsi"/>
          <w:i/>
          <w:iCs/>
          <w:sz w:val="20"/>
          <w:szCs w:val="20"/>
        </w:rPr>
        <w:t>For type 1 CG: no RRC configuration of PUCCH resources indicates that PUCCH resource is not provided</w:t>
      </w:r>
    </w:p>
    <w:p w:rsidR="00631F6F" w:rsidRDefault="00631F6F">
      <w:pPr>
        <w:rPr>
          <w:rFonts w:asciiTheme="minorHAnsi" w:hAnsiTheme="minorHAnsi" w:cstheme="minorHAnsi"/>
          <w:i/>
          <w:iCs/>
          <w:sz w:val="20"/>
          <w:szCs w:val="20"/>
          <w:highlight w:val="yellow"/>
        </w:rPr>
      </w:pPr>
    </w:p>
    <w:p w:rsidR="00631F6F" w:rsidRDefault="00023BC7">
      <w:pPr>
        <w:rPr>
          <w:rFonts w:asciiTheme="minorHAnsi" w:hAnsiTheme="minorHAnsi" w:cstheme="minorHAnsi"/>
          <w:i/>
          <w:iCs/>
          <w:sz w:val="20"/>
          <w:szCs w:val="20"/>
        </w:rPr>
      </w:pPr>
      <w:r>
        <w:rPr>
          <w:rFonts w:asciiTheme="minorHAnsi" w:hAnsiTheme="minorHAnsi" w:cstheme="minorHAnsi"/>
          <w:i/>
          <w:iCs/>
          <w:sz w:val="20"/>
          <w:szCs w:val="20"/>
          <w:highlight w:val="green"/>
        </w:rPr>
        <w:t>Agreements</w:t>
      </w:r>
      <w:r>
        <w:rPr>
          <w:rFonts w:asciiTheme="minorHAnsi" w:hAnsiTheme="minorHAnsi" w:cstheme="minorHAnsi"/>
          <w:i/>
          <w:iCs/>
          <w:sz w:val="20"/>
          <w:szCs w:val="20"/>
        </w:rPr>
        <w:t>:</w:t>
      </w:r>
    </w:p>
    <w:p w:rsidR="00631F6F" w:rsidRDefault="00023BC7">
      <w:pPr>
        <w:pStyle w:val="ListParagraph"/>
        <w:numPr>
          <w:ilvl w:val="0"/>
          <w:numId w:val="13"/>
        </w:numPr>
        <w:snapToGrid/>
        <w:spacing w:after="0" w:line="252" w:lineRule="auto"/>
        <w:jc w:val="left"/>
        <w:rPr>
          <w:rFonts w:asciiTheme="minorHAnsi" w:hAnsiTheme="minorHAnsi" w:cstheme="minorHAnsi"/>
          <w:bCs/>
          <w:i/>
          <w:iCs/>
          <w:sz w:val="20"/>
          <w:szCs w:val="20"/>
          <w:lang w:eastAsia="ja-JP"/>
        </w:rPr>
      </w:pPr>
      <w:r>
        <w:rPr>
          <w:rFonts w:asciiTheme="minorHAnsi" w:hAnsiTheme="minorHAnsi" w:cstheme="minorHAnsi"/>
          <w:bCs/>
          <w:i/>
          <w:iCs/>
          <w:sz w:val="20"/>
          <w:szCs w:val="20"/>
          <w:lang w:eastAsia="ja-JP"/>
        </w:rPr>
        <w:t>At least the following parameters are part of a SL configured grant configuration:</w:t>
      </w:r>
    </w:p>
    <w:p w:rsidR="00631F6F" w:rsidRDefault="00023BC7">
      <w:pPr>
        <w:pStyle w:val="ListParagraph"/>
        <w:numPr>
          <w:ilvl w:val="1"/>
          <w:numId w:val="13"/>
        </w:numPr>
        <w:snapToGrid/>
        <w:spacing w:after="0" w:line="252" w:lineRule="auto"/>
        <w:jc w:val="left"/>
        <w:rPr>
          <w:rFonts w:asciiTheme="minorHAnsi" w:hAnsiTheme="minorHAnsi" w:cstheme="minorHAnsi"/>
          <w:bCs/>
          <w:i/>
          <w:iCs/>
          <w:sz w:val="20"/>
          <w:szCs w:val="20"/>
          <w:lang w:val="x-none" w:eastAsia="ja-JP"/>
        </w:rPr>
      </w:pPr>
      <w:r>
        <w:rPr>
          <w:rFonts w:asciiTheme="minorHAnsi" w:hAnsiTheme="minorHAnsi" w:cstheme="minorHAnsi"/>
          <w:bCs/>
          <w:i/>
          <w:iCs/>
          <w:sz w:val="20"/>
          <w:szCs w:val="20"/>
          <w:lang w:eastAsia="ja-JP"/>
        </w:rPr>
        <w:t xml:space="preserve">Configuration index of the CG </w:t>
      </w:r>
    </w:p>
    <w:p w:rsidR="00631F6F" w:rsidRDefault="00023BC7">
      <w:pPr>
        <w:pStyle w:val="ListParagraph"/>
        <w:numPr>
          <w:ilvl w:val="1"/>
          <w:numId w:val="13"/>
        </w:numPr>
        <w:snapToGrid/>
        <w:spacing w:after="0" w:line="252" w:lineRule="auto"/>
        <w:jc w:val="left"/>
        <w:rPr>
          <w:rFonts w:asciiTheme="minorHAnsi" w:hAnsiTheme="minorHAnsi" w:cstheme="minorHAnsi"/>
          <w:bCs/>
          <w:i/>
          <w:iCs/>
          <w:sz w:val="20"/>
          <w:szCs w:val="20"/>
          <w:lang w:val="x-none" w:eastAsia="ja-JP"/>
        </w:rPr>
      </w:pPr>
      <w:r>
        <w:rPr>
          <w:rFonts w:asciiTheme="minorHAnsi" w:hAnsiTheme="minorHAnsi" w:cstheme="minorHAnsi"/>
          <w:bCs/>
          <w:i/>
          <w:iCs/>
          <w:sz w:val="20"/>
          <w:szCs w:val="20"/>
          <w:lang w:eastAsia="ja-JP"/>
        </w:rPr>
        <w:t>Time offset (for type-1 only)</w:t>
      </w:r>
    </w:p>
    <w:p w:rsidR="00631F6F" w:rsidRDefault="00023BC7">
      <w:pPr>
        <w:pStyle w:val="ListParagraph"/>
        <w:numPr>
          <w:ilvl w:val="1"/>
          <w:numId w:val="13"/>
        </w:numPr>
        <w:snapToGrid/>
        <w:spacing w:after="0" w:line="252" w:lineRule="auto"/>
        <w:jc w:val="left"/>
        <w:rPr>
          <w:rFonts w:asciiTheme="minorHAnsi" w:hAnsiTheme="minorHAnsi" w:cstheme="minorHAnsi"/>
          <w:bCs/>
          <w:i/>
          <w:iCs/>
          <w:sz w:val="20"/>
          <w:szCs w:val="20"/>
          <w:lang w:val="x-none" w:eastAsia="ja-JP"/>
        </w:rPr>
      </w:pPr>
      <w:r>
        <w:rPr>
          <w:rFonts w:asciiTheme="minorHAnsi" w:hAnsiTheme="minorHAnsi" w:cstheme="minorHAnsi"/>
          <w:bCs/>
          <w:i/>
          <w:iCs/>
          <w:sz w:val="20"/>
          <w:szCs w:val="20"/>
          <w:lang w:eastAsia="ja-JP"/>
        </w:rPr>
        <w:t>Time-frequency allocation (for type-1 only)</w:t>
      </w:r>
    </w:p>
    <w:p w:rsidR="00631F6F" w:rsidRDefault="00023BC7">
      <w:pPr>
        <w:pStyle w:val="ListParagraph"/>
        <w:numPr>
          <w:ilvl w:val="2"/>
          <w:numId w:val="13"/>
        </w:numPr>
        <w:snapToGrid/>
        <w:spacing w:after="0" w:line="252" w:lineRule="auto"/>
        <w:jc w:val="left"/>
        <w:rPr>
          <w:rFonts w:asciiTheme="minorHAnsi" w:hAnsiTheme="minorHAnsi" w:cstheme="minorHAnsi"/>
          <w:bCs/>
          <w:i/>
          <w:iCs/>
          <w:sz w:val="20"/>
          <w:szCs w:val="20"/>
          <w:lang w:eastAsia="ja-JP"/>
        </w:rPr>
      </w:pPr>
      <w:r>
        <w:rPr>
          <w:rFonts w:asciiTheme="minorHAnsi" w:hAnsiTheme="minorHAnsi" w:cstheme="minorHAnsi"/>
          <w:bCs/>
          <w:i/>
          <w:iCs/>
          <w:sz w:val="20"/>
          <w:szCs w:val="20"/>
          <w:lang w:eastAsia="ja-JP"/>
        </w:rPr>
        <w:t>Using the same format as in DCI.</w:t>
      </w:r>
    </w:p>
    <w:p w:rsidR="00631F6F" w:rsidRDefault="00023BC7">
      <w:pPr>
        <w:pStyle w:val="ListParagraph"/>
        <w:numPr>
          <w:ilvl w:val="1"/>
          <w:numId w:val="13"/>
        </w:numPr>
        <w:snapToGrid/>
        <w:spacing w:after="0" w:line="252" w:lineRule="auto"/>
        <w:jc w:val="left"/>
        <w:rPr>
          <w:rFonts w:asciiTheme="minorHAnsi" w:hAnsiTheme="minorHAnsi" w:cstheme="minorHAnsi"/>
          <w:bCs/>
          <w:i/>
          <w:iCs/>
          <w:sz w:val="20"/>
          <w:szCs w:val="20"/>
          <w:lang w:eastAsia="ja-JP"/>
        </w:rPr>
      </w:pPr>
      <w:r>
        <w:rPr>
          <w:rFonts w:asciiTheme="minorHAnsi" w:hAnsiTheme="minorHAnsi" w:cstheme="minorHAnsi"/>
          <w:bCs/>
          <w:i/>
          <w:iCs/>
          <w:sz w:val="20"/>
          <w:szCs w:val="20"/>
          <w:lang w:eastAsia="ja-JP"/>
        </w:rPr>
        <w:t>Periodicity</w:t>
      </w:r>
    </w:p>
    <w:p w:rsidR="00631F6F" w:rsidRDefault="00023BC7">
      <w:pPr>
        <w:pStyle w:val="ListParagraph"/>
        <w:numPr>
          <w:ilvl w:val="1"/>
          <w:numId w:val="13"/>
        </w:numPr>
        <w:snapToGrid/>
        <w:spacing w:after="0" w:line="252" w:lineRule="auto"/>
        <w:jc w:val="left"/>
        <w:rPr>
          <w:rFonts w:asciiTheme="minorHAnsi" w:hAnsiTheme="minorHAnsi" w:cstheme="minorHAnsi"/>
          <w:bCs/>
          <w:i/>
          <w:iCs/>
          <w:sz w:val="20"/>
          <w:szCs w:val="20"/>
          <w:lang w:val="x-none" w:eastAsia="ja-JP"/>
        </w:rPr>
      </w:pPr>
      <w:r>
        <w:rPr>
          <w:rFonts w:asciiTheme="minorHAnsi" w:hAnsiTheme="minorHAnsi" w:cstheme="minorHAnsi"/>
          <w:bCs/>
          <w:i/>
          <w:iCs/>
          <w:sz w:val="20"/>
          <w:szCs w:val="20"/>
          <w:lang w:eastAsia="ja-JP"/>
        </w:rPr>
        <w:t>The configured grant is associated with a single transmit resource pool.</w:t>
      </w:r>
    </w:p>
    <w:p w:rsidR="00631F6F" w:rsidRDefault="00023BC7">
      <w:pPr>
        <w:pStyle w:val="ListParagraph"/>
        <w:numPr>
          <w:ilvl w:val="1"/>
          <w:numId w:val="13"/>
        </w:numPr>
        <w:snapToGrid/>
        <w:spacing w:after="0" w:line="252" w:lineRule="auto"/>
        <w:jc w:val="left"/>
        <w:rPr>
          <w:rFonts w:asciiTheme="minorHAnsi" w:hAnsiTheme="minorHAnsi" w:cstheme="minorHAnsi"/>
          <w:bCs/>
          <w:i/>
          <w:iCs/>
          <w:sz w:val="20"/>
          <w:szCs w:val="20"/>
          <w:lang w:val="x-none" w:eastAsia="ja-JP"/>
        </w:rPr>
      </w:pPr>
      <w:r>
        <w:rPr>
          <w:rFonts w:asciiTheme="minorHAnsi" w:hAnsiTheme="minorHAnsi" w:cstheme="minorHAnsi"/>
          <w:bCs/>
          <w:i/>
          <w:iCs/>
          <w:sz w:val="20"/>
          <w:szCs w:val="20"/>
          <w:lang w:eastAsia="ja-JP"/>
        </w:rPr>
        <w:t>RAN2 can add other parameters if deemed necessary by RAN2</w:t>
      </w:r>
    </w:p>
    <w:p w:rsidR="00631F6F" w:rsidRDefault="00023BC7">
      <w:pPr>
        <w:pStyle w:val="ListParagraph"/>
        <w:numPr>
          <w:ilvl w:val="0"/>
          <w:numId w:val="13"/>
        </w:numPr>
        <w:snapToGrid/>
        <w:spacing w:after="0" w:line="252" w:lineRule="auto"/>
        <w:jc w:val="left"/>
        <w:rPr>
          <w:rFonts w:asciiTheme="minorHAnsi" w:hAnsiTheme="minorHAnsi" w:cstheme="minorHAnsi"/>
          <w:bCs/>
          <w:i/>
          <w:iCs/>
          <w:sz w:val="20"/>
          <w:szCs w:val="20"/>
          <w:lang w:val="x-none" w:eastAsia="ja-JP"/>
        </w:rPr>
      </w:pPr>
      <w:r>
        <w:rPr>
          <w:rFonts w:asciiTheme="minorHAnsi" w:hAnsiTheme="minorHAnsi" w:cstheme="minorHAnsi"/>
          <w:bCs/>
          <w:i/>
          <w:iCs/>
          <w:sz w:val="20"/>
          <w:szCs w:val="20"/>
          <w:lang w:eastAsia="ja-JP"/>
        </w:rPr>
        <w:t xml:space="preserve">A UE in mode 1 is configured at least with one transmit resource pool </w:t>
      </w:r>
    </w:p>
    <w:p w:rsidR="00631F6F" w:rsidRDefault="00023BC7">
      <w:pPr>
        <w:numPr>
          <w:ilvl w:val="0"/>
          <w:numId w:val="13"/>
        </w:numPr>
        <w:snapToGrid/>
        <w:spacing w:after="0" w:line="252" w:lineRule="auto"/>
        <w:jc w:val="left"/>
        <w:rPr>
          <w:rFonts w:asciiTheme="minorHAnsi" w:hAnsiTheme="minorHAnsi" w:cstheme="minorHAnsi"/>
          <w:bCs/>
          <w:i/>
          <w:iCs/>
          <w:sz w:val="20"/>
          <w:szCs w:val="20"/>
          <w:lang w:val="x-none" w:eastAsia="ja-JP"/>
        </w:rPr>
      </w:pPr>
      <w:r>
        <w:rPr>
          <w:rFonts w:asciiTheme="minorHAnsi" w:hAnsiTheme="minorHAnsi" w:cstheme="minorHAnsi"/>
          <w:bCs/>
          <w:i/>
          <w:iCs/>
          <w:sz w:val="20"/>
          <w:szCs w:val="20"/>
          <w:lang w:eastAsia="ja-JP"/>
        </w:rPr>
        <w:t>For type-2 CG, the time-frequency allocation and the configuration index of the CG are indicated in DCI.</w:t>
      </w:r>
    </w:p>
    <w:p w:rsidR="00631F6F" w:rsidRDefault="00023BC7">
      <w:pPr>
        <w:pStyle w:val="ListParagraph"/>
        <w:numPr>
          <w:ilvl w:val="1"/>
          <w:numId w:val="13"/>
        </w:numPr>
        <w:snapToGrid/>
        <w:spacing w:after="0" w:line="252" w:lineRule="auto"/>
        <w:jc w:val="left"/>
        <w:rPr>
          <w:rFonts w:asciiTheme="minorHAnsi" w:hAnsiTheme="minorHAnsi" w:cstheme="minorHAnsi"/>
          <w:bCs/>
          <w:i/>
          <w:iCs/>
          <w:sz w:val="20"/>
          <w:szCs w:val="20"/>
          <w:lang w:val="x-none" w:eastAsia="ja-JP"/>
        </w:rPr>
      </w:pPr>
      <w:r>
        <w:rPr>
          <w:rFonts w:asciiTheme="minorHAnsi" w:hAnsiTheme="minorHAnsi" w:cstheme="minorHAnsi"/>
          <w:bCs/>
          <w:i/>
          <w:iCs/>
          <w:sz w:val="20"/>
          <w:szCs w:val="20"/>
          <w:lang w:eastAsia="ja-JP"/>
        </w:rPr>
        <w:t>All parameters for CG type 2 for activation DCI re-use the same respective parameters configured for CG type 1, when applicable</w:t>
      </w:r>
    </w:p>
    <w:p w:rsidR="00631F6F" w:rsidRDefault="00023BC7">
      <w:pPr>
        <w:rPr>
          <w:rFonts w:asciiTheme="minorHAnsi" w:hAnsiTheme="minorHAnsi" w:cstheme="minorHAnsi"/>
          <w:i/>
          <w:iCs/>
          <w:sz w:val="20"/>
          <w:szCs w:val="20"/>
        </w:rPr>
      </w:pPr>
      <w:r>
        <w:rPr>
          <w:rFonts w:asciiTheme="minorHAnsi" w:hAnsiTheme="minorHAnsi" w:cstheme="minorHAnsi"/>
          <w:i/>
          <w:iCs/>
          <w:sz w:val="20"/>
          <w:szCs w:val="20"/>
          <w:highlight w:val="green"/>
        </w:rPr>
        <w:t>Agreements</w:t>
      </w:r>
      <w:r>
        <w:rPr>
          <w:rFonts w:asciiTheme="minorHAnsi" w:hAnsiTheme="minorHAnsi" w:cstheme="minorHAnsi"/>
          <w:i/>
          <w:iCs/>
          <w:sz w:val="20"/>
          <w:szCs w:val="20"/>
        </w:rPr>
        <w:t>:</w:t>
      </w:r>
    </w:p>
    <w:p w:rsidR="00631F6F" w:rsidRDefault="00023BC7">
      <w:pPr>
        <w:pStyle w:val="ListParagraph"/>
        <w:numPr>
          <w:ilvl w:val="0"/>
          <w:numId w:val="6"/>
        </w:numPr>
        <w:snapToGrid/>
        <w:spacing w:after="160" w:line="254" w:lineRule="auto"/>
        <w:jc w:val="left"/>
        <w:rPr>
          <w:rFonts w:asciiTheme="minorHAnsi" w:hAnsiTheme="minorHAnsi" w:cstheme="minorHAnsi"/>
          <w:i/>
          <w:iCs/>
          <w:sz w:val="20"/>
          <w:szCs w:val="20"/>
          <w:lang w:eastAsia="ja-JP"/>
        </w:rPr>
      </w:pPr>
      <w:r>
        <w:rPr>
          <w:rFonts w:asciiTheme="minorHAnsi" w:hAnsiTheme="minorHAnsi" w:cstheme="minorHAnsi"/>
          <w:i/>
          <w:iCs/>
          <w:sz w:val="20"/>
          <w:szCs w:val="20"/>
          <w:lang w:eastAsia="ja-JP"/>
        </w:rPr>
        <w:t>NR supports SL transmissions at least in cell-specific UL resources in Uu.</w:t>
      </w:r>
    </w:p>
    <w:p w:rsidR="00631F6F" w:rsidRDefault="00023BC7">
      <w:pPr>
        <w:rPr>
          <w:rFonts w:asciiTheme="minorHAnsi" w:hAnsiTheme="minorHAnsi" w:cstheme="minorHAnsi"/>
          <w:i/>
          <w:iCs/>
          <w:sz w:val="20"/>
          <w:szCs w:val="20"/>
          <w:highlight w:val="green"/>
        </w:rPr>
      </w:pPr>
      <w:r>
        <w:rPr>
          <w:rFonts w:asciiTheme="minorHAnsi" w:hAnsiTheme="minorHAnsi" w:cstheme="minorHAnsi"/>
          <w:i/>
          <w:iCs/>
          <w:sz w:val="20"/>
          <w:szCs w:val="20"/>
          <w:highlight w:val="green"/>
        </w:rPr>
        <w:t>Agreements:</w:t>
      </w:r>
    </w:p>
    <w:p w:rsidR="00631F6F" w:rsidRDefault="00023BC7">
      <w:pPr>
        <w:pStyle w:val="ListParagraph"/>
        <w:numPr>
          <w:ilvl w:val="0"/>
          <w:numId w:val="14"/>
        </w:numPr>
        <w:snapToGrid/>
        <w:spacing w:after="0" w:line="254" w:lineRule="auto"/>
        <w:jc w:val="left"/>
      </w:pPr>
      <w:r>
        <w:rPr>
          <w:rFonts w:asciiTheme="minorHAnsi" w:hAnsiTheme="minorHAnsi" w:cstheme="minorHAnsi"/>
          <w:bCs/>
          <w:i/>
          <w:iCs/>
          <w:sz w:val="20"/>
          <w:szCs w:val="20"/>
        </w:rPr>
        <w:t>For dynamic grant and configured grant type-2, the slot of the first sidelink transmission is the in the first SL slot of the corresponding resource pool that starts not earlier than (</w:t>
      </w:r>
      <w:r>
        <w:rPr>
          <w:rFonts w:asciiTheme="minorHAnsi" w:hAnsiTheme="minorHAnsi" w:cstheme="minorHAnsi"/>
          <w:bCs/>
          <w:i/>
          <w:iCs/>
          <w:sz w:val="20"/>
          <w:szCs w:val="20"/>
          <w:highlight w:val="darkYellow"/>
        </w:rPr>
        <w:t xml:space="preserve">working assumption </w:t>
      </w:r>
      <w:r>
        <w:rPr>
          <w:rFonts w:asciiTheme="minorHAnsi" w:hAnsiTheme="minorHAnsi" w:cstheme="minorHAnsi"/>
          <w:bCs/>
          <w:i/>
          <w:iCs/>
          <w:sz w:val="20"/>
          <w:szCs w:val="20"/>
        </w:rPr>
        <w:t xml:space="preserve">for the formular) </w:t>
      </w:r>
      <w:r>
        <w:fldChar w:fldCharType="begin"/>
      </w:r>
      <w:r>
        <w:instrText>QUOTE</w:instrText>
      </w:r>
      <w:r>
        <w:fldChar w:fldCharType="end"/>
      </w:r>
      <w:bookmarkStart w:id="4" w:name="__Fieldmark__227733_4283056390"/>
      <w:bookmarkEnd w:id="4"/>
      <w:r>
        <w:rPr>
          <w:noProof/>
        </w:rPr>
        <mc:AlternateContent>
          <mc:Choice Requires="wps">
            <w:drawing>
              <wp:inline distT="0" distB="0" distL="0" distR="0">
                <wp:extent cx="1765935" cy="255270"/>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pic:blipFill>
                      <pic:spPr>
                        <a:xfrm>
                          <a:off x="0" y="0"/>
                          <a:ext cx="1765440" cy="254520"/>
                        </a:xfrm>
                        <a:prstGeom prst="rect">
                          <a:avLst/>
                        </a:prstGeom>
                        <a:ln>
                          <a:noFill/>
                        </a:ln>
                      </pic:spPr>
                    </pic:pic>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type id="shapetype_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stroked="f" style="position:absolute;margin-left:0pt;margin-top:-20.1pt;width:138.95pt;height:20pt;mso-position-vertical:top" type="shapetype_75">
                <v:imagedata r:id="rId9" o:detectmouseclick="t"/>
                <w10:wrap type="none"/>
                <v:stroke color="#3465a4" joinstyle="round" endcap="flat"/>
              </v:shape>
            </w:pict>
          </mc:Fallback>
        </mc:AlternateContent>
      </w:r>
      <w:r>
        <w:rPr>
          <w:noProof/>
        </w:rPr>
        <mc:AlternateContent>
          <mc:Choice Requires="wps">
            <w:drawing>
              <wp:inline distT="0" distB="0" distL="0" distR="0">
                <wp:extent cx="1511300" cy="223520"/>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pic:blipFill>
                      <pic:spPr>
                        <a:xfrm>
                          <a:off x="0" y="0"/>
                          <a:ext cx="1510560" cy="222840"/>
                        </a:xfrm>
                        <a:prstGeom prst="rect">
                          <a:avLst/>
                        </a:prstGeom>
                        <a:ln>
                          <a:noFill/>
                        </a:ln>
                      </pic:spPr>
                    </pic:pic>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id="shape_0" stroked="f" style="position:absolute;margin-left:0pt;margin-top:-17.6pt;width:118.9pt;height:17.5pt;mso-position-vertical:top" type="shapetype_75">
                <v:imagedata r:id="rId9" o:detectmouseclick="t"/>
                <w10:wrap type="none"/>
                <v:stroke color="#3465a4" joinstyle="round" endcap="flat"/>
              </v:shape>
            </w:pict>
          </mc:Fallback>
        </mc:AlternateContent>
      </w:r>
      <w:r>
        <w:rPr>
          <w:rFonts w:asciiTheme="minorHAnsi" w:hAnsiTheme="minorHAnsi" w:cstheme="minorHAnsi"/>
          <w:bCs/>
          <w:i/>
          <w:iCs/>
          <w:sz w:val="20"/>
          <w:szCs w:val="20"/>
        </w:rPr>
        <w:t xml:space="preserve"> where T</w:t>
      </w:r>
      <w:r>
        <w:rPr>
          <w:rFonts w:asciiTheme="minorHAnsi" w:hAnsiTheme="minorHAnsi" w:cstheme="minorHAnsi"/>
          <w:bCs/>
          <w:i/>
          <w:iCs/>
          <w:sz w:val="20"/>
          <w:szCs w:val="20"/>
          <w:vertAlign w:val="subscript"/>
        </w:rPr>
        <w:t>DL</w:t>
      </w:r>
      <w:r>
        <w:rPr>
          <w:rFonts w:asciiTheme="minorHAnsi" w:hAnsiTheme="minorHAnsi" w:cstheme="minorHAnsi"/>
          <w:bCs/>
          <w:i/>
          <w:iCs/>
          <w:sz w:val="20"/>
          <w:szCs w:val="20"/>
        </w:rPr>
        <w:t xml:space="preserve"> is starting time of the slot carrying the corresponding DCI, T</w:t>
      </w:r>
      <w:r>
        <w:rPr>
          <w:rFonts w:asciiTheme="minorHAnsi" w:hAnsiTheme="minorHAnsi" w:cstheme="minorHAnsi"/>
          <w:bCs/>
          <w:i/>
          <w:iCs/>
          <w:sz w:val="20"/>
          <w:szCs w:val="20"/>
          <w:vertAlign w:val="subscript"/>
        </w:rPr>
        <w:t>TA</w:t>
      </w:r>
      <w:r>
        <w:rPr>
          <w:rFonts w:asciiTheme="minorHAnsi" w:hAnsiTheme="minorHAnsi" w:cstheme="minorHAnsi"/>
          <w:bCs/>
          <w:i/>
          <w:iCs/>
          <w:sz w:val="20"/>
          <w:szCs w:val="20"/>
        </w:rPr>
        <w:t xml:space="preserve"> is the timing advance value and m is the slot offset (based on the SL numerology) between DCI and the first sidelink transmission scheduled by DCI, T</w:t>
      </w:r>
      <w:r>
        <w:rPr>
          <w:rFonts w:asciiTheme="minorHAnsi" w:hAnsiTheme="minorHAnsi" w:cstheme="minorHAnsi"/>
          <w:bCs/>
          <w:i/>
          <w:iCs/>
          <w:sz w:val="20"/>
          <w:szCs w:val="20"/>
          <w:vertAlign w:val="subscript"/>
        </w:rPr>
        <w:t>c</w:t>
      </w:r>
      <w:r>
        <w:rPr>
          <w:rFonts w:asciiTheme="minorHAnsi" w:hAnsiTheme="minorHAnsi" w:cstheme="minorHAnsi"/>
          <w:bCs/>
          <w:i/>
          <w:iCs/>
          <w:sz w:val="20"/>
          <w:szCs w:val="20"/>
        </w:rPr>
        <w:t xml:space="preserve"> is as defined in 38.211, and T</w:t>
      </w:r>
      <w:r>
        <w:rPr>
          <w:rFonts w:asciiTheme="minorHAnsi" w:hAnsiTheme="minorHAnsi" w:cstheme="minorHAnsi"/>
          <w:bCs/>
          <w:i/>
          <w:iCs/>
          <w:sz w:val="20"/>
          <w:szCs w:val="20"/>
          <w:vertAlign w:val="subscript"/>
        </w:rPr>
        <w:t>slot</w:t>
      </w:r>
      <w:r>
        <w:rPr>
          <w:rFonts w:asciiTheme="minorHAnsi" w:hAnsiTheme="minorHAnsi" w:cstheme="minorHAnsi"/>
          <w:bCs/>
          <w:i/>
          <w:iCs/>
          <w:sz w:val="20"/>
          <w:szCs w:val="20"/>
        </w:rPr>
        <w:t xml:space="preserve"> is the SL slot duration.</w:t>
      </w:r>
      <w:r>
        <w:rPr>
          <w:rFonts w:asciiTheme="minorHAnsi" w:hAnsiTheme="minorHAnsi" w:cstheme="minorHAnsi"/>
          <w:bCs/>
          <w:i/>
          <w:iCs/>
          <w:sz w:val="20"/>
          <w:szCs w:val="20"/>
          <w:lang w:eastAsia="ja-JP"/>
        </w:rPr>
        <w:t xml:space="preserve"> </w:t>
      </w:r>
    </w:p>
    <w:p w:rsidR="00631F6F" w:rsidRDefault="00023BC7">
      <w:pPr>
        <w:pStyle w:val="ListParagraph"/>
        <w:numPr>
          <w:ilvl w:val="1"/>
          <w:numId w:val="14"/>
        </w:numPr>
        <w:snapToGrid/>
        <w:spacing w:after="0" w:line="254" w:lineRule="auto"/>
        <w:jc w:val="left"/>
        <w:rPr>
          <w:rFonts w:asciiTheme="minorHAnsi" w:hAnsiTheme="minorHAnsi" w:cstheme="minorHAnsi"/>
          <w:bCs/>
          <w:i/>
          <w:iCs/>
          <w:sz w:val="20"/>
          <w:szCs w:val="20"/>
          <w:lang w:eastAsia="ja-JP"/>
        </w:rPr>
      </w:pPr>
      <w:r>
        <w:rPr>
          <w:rFonts w:asciiTheme="minorHAnsi" w:hAnsiTheme="minorHAnsi" w:cstheme="minorHAnsi"/>
          <w:bCs/>
          <w:i/>
          <w:iCs/>
          <w:sz w:val="20"/>
          <w:szCs w:val="20"/>
          <w:lang w:eastAsia="ja-JP"/>
        </w:rPr>
        <w:t>FFS the case of CG type 1</w:t>
      </w:r>
    </w:p>
    <w:p w:rsidR="00631F6F" w:rsidRDefault="00631F6F">
      <w:pPr>
        <w:pStyle w:val="ListParagraph"/>
        <w:numPr>
          <w:ilvl w:val="1"/>
          <w:numId w:val="14"/>
        </w:numPr>
        <w:snapToGrid/>
        <w:spacing w:after="160" w:line="254" w:lineRule="auto"/>
        <w:jc w:val="left"/>
        <w:rPr>
          <w:rFonts w:asciiTheme="minorHAnsi" w:hAnsiTheme="minorHAnsi" w:cstheme="minorHAnsi"/>
          <w:bCs/>
          <w:i/>
          <w:iCs/>
          <w:sz w:val="20"/>
          <w:szCs w:val="20"/>
          <w:lang w:eastAsia="ja-JP"/>
        </w:rPr>
      </w:pPr>
    </w:p>
    <w:p w:rsidR="00631F6F" w:rsidRDefault="00023BC7">
      <w:pPr>
        <w:pStyle w:val="ListParagraph"/>
        <w:numPr>
          <w:ilvl w:val="0"/>
          <w:numId w:val="14"/>
        </w:numPr>
        <w:snapToGrid/>
        <w:spacing w:after="160" w:line="254" w:lineRule="auto"/>
        <w:jc w:val="left"/>
        <w:rPr>
          <w:rFonts w:asciiTheme="minorHAnsi" w:hAnsiTheme="minorHAnsi" w:cstheme="minorHAnsi"/>
          <w:bCs/>
          <w:i/>
          <w:iCs/>
          <w:sz w:val="20"/>
          <w:szCs w:val="20"/>
          <w:lang w:eastAsia="ja-JP"/>
        </w:rPr>
      </w:pPr>
      <w:r>
        <w:rPr>
          <w:rFonts w:asciiTheme="minorHAnsi" w:hAnsiTheme="minorHAnsi" w:cstheme="minorHAnsi"/>
          <w:bCs/>
          <w:i/>
          <w:iCs/>
          <w:sz w:val="20"/>
          <w:szCs w:val="20"/>
          <w:lang w:eastAsia="ja-JP"/>
        </w:rPr>
        <w:t>FFS the application of the above formula to cross-RAT scheduling.</w:t>
      </w:r>
    </w:p>
    <w:p w:rsidR="00631F6F" w:rsidRDefault="00631F6F">
      <w:pPr>
        <w:rPr>
          <w:lang w:eastAsia="ja-JP"/>
        </w:rPr>
      </w:pPr>
    </w:p>
    <w:p w:rsidR="00427BF6" w:rsidRPr="000C2DA7" w:rsidRDefault="00427BF6" w:rsidP="00427BF6">
      <w:pPr>
        <w:rPr>
          <w:rFonts w:asciiTheme="minorHAnsi" w:hAnsiTheme="minorHAnsi" w:cstheme="minorHAnsi"/>
          <w:b/>
          <w:lang w:val="en-GB" w:eastAsia="ja-JP"/>
        </w:rPr>
      </w:pPr>
      <w:r w:rsidRPr="000C2DA7">
        <w:rPr>
          <w:rFonts w:asciiTheme="minorHAnsi" w:hAnsiTheme="minorHAnsi" w:cstheme="minorHAnsi"/>
          <w:b/>
          <w:lang w:val="en-GB" w:eastAsia="ja-JP"/>
        </w:rPr>
        <w:t>In RAN1 #100-e</w:t>
      </w:r>
    </w:p>
    <w:p w:rsidR="00427BF6" w:rsidRPr="00427BF6" w:rsidRDefault="00427BF6" w:rsidP="00427BF6">
      <w:pPr>
        <w:rPr>
          <w:i/>
          <w:sz w:val="20"/>
          <w:lang w:eastAsia="x-none"/>
        </w:rPr>
      </w:pPr>
      <w:r w:rsidRPr="00427BF6">
        <w:rPr>
          <w:i/>
          <w:sz w:val="20"/>
          <w:highlight w:val="green"/>
          <w:lang w:eastAsia="x-none"/>
        </w:rPr>
        <w:t>Agreements (Q1):</w:t>
      </w:r>
    </w:p>
    <w:p w:rsidR="00427BF6" w:rsidRPr="00427BF6" w:rsidRDefault="00427BF6" w:rsidP="00427BF6">
      <w:pPr>
        <w:pStyle w:val="ListParagraph"/>
        <w:numPr>
          <w:ilvl w:val="0"/>
          <w:numId w:val="17"/>
        </w:numPr>
        <w:overflowPunct w:val="0"/>
        <w:autoSpaceDE w:val="0"/>
        <w:autoSpaceDN w:val="0"/>
        <w:adjustRightInd w:val="0"/>
        <w:snapToGrid/>
        <w:spacing w:after="180"/>
        <w:contextualSpacing/>
        <w:jc w:val="left"/>
        <w:textAlignment w:val="baseline"/>
        <w:rPr>
          <w:i/>
          <w:sz w:val="20"/>
        </w:rPr>
      </w:pPr>
      <w:r w:rsidRPr="00427BF6">
        <w:rPr>
          <w:i/>
          <w:sz w:val="20"/>
        </w:rPr>
        <w:t>The mapping between the values of HPN signaled in DCI and HPN signaled in SCI is fixed for a TB, and is up to UE implementation.</w:t>
      </w:r>
    </w:p>
    <w:p w:rsidR="00427BF6" w:rsidRPr="00427BF6" w:rsidRDefault="00427BF6" w:rsidP="00427BF6">
      <w:pPr>
        <w:pStyle w:val="ListParagraph"/>
        <w:numPr>
          <w:ilvl w:val="0"/>
          <w:numId w:val="17"/>
        </w:numPr>
        <w:overflowPunct w:val="0"/>
        <w:autoSpaceDE w:val="0"/>
        <w:autoSpaceDN w:val="0"/>
        <w:adjustRightInd w:val="0"/>
        <w:snapToGrid/>
        <w:spacing w:after="180"/>
        <w:contextualSpacing/>
        <w:jc w:val="left"/>
        <w:textAlignment w:val="baseline"/>
        <w:rPr>
          <w:i/>
          <w:sz w:val="20"/>
          <w:lang w:eastAsia="ko-KR"/>
        </w:rPr>
      </w:pPr>
      <w:r w:rsidRPr="00427BF6">
        <w:rPr>
          <w:i/>
          <w:sz w:val="20"/>
          <w:lang w:eastAsia="ko-KR"/>
        </w:rPr>
        <w:lastRenderedPageBreak/>
        <w:t>For dynamic grant,</w:t>
      </w:r>
      <w:r w:rsidRPr="00427BF6">
        <w:rPr>
          <w:rStyle w:val="apple-converted-space"/>
          <w:rFonts w:ascii="Calibri" w:hAnsi="Calibri"/>
          <w:i/>
          <w:sz w:val="20"/>
          <w:lang w:eastAsia="ko-KR"/>
        </w:rPr>
        <w:t> </w:t>
      </w:r>
      <w:r w:rsidRPr="00427BF6">
        <w:rPr>
          <w:i/>
          <w:sz w:val="20"/>
          <w:lang w:eastAsia="ko-KR"/>
        </w:rPr>
        <w:t>the toggling of NDI in DCI is used as the toggling of NDI in SCI for the first SL transmission scheduled by the DCI. The SCI for the remaining transmissions scheduled by the DCI, if any, have the NDI untoggled with respect to the first SL transmission.</w:t>
      </w:r>
    </w:p>
    <w:p w:rsidR="00427BF6" w:rsidRPr="00427BF6" w:rsidRDefault="00427BF6" w:rsidP="00427BF6">
      <w:pPr>
        <w:rPr>
          <w:i/>
          <w:sz w:val="20"/>
          <w:lang w:eastAsia="ja-JP"/>
        </w:rPr>
      </w:pPr>
      <w:r w:rsidRPr="00427BF6">
        <w:rPr>
          <w:i/>
          <w:color w:val="FF0000"/>
          <w:sz w:val="20"/>
        </w:rPr>
        <w:t>FFS NDI in SCI for PUCCH ACK-NACK error cases</w:t>
      </w:r>
    </w:p>
    <w:p w:rsidR="00631F6F" w:rsidRDefault="00631F6F">
      <w:pPr>
        <w:rPr>
          <w:lang w:val="en-GB" w:eastAsia="ja-JP"/>
        </w:rPr>
      </w:pPr>
    </w:p>
    <w:p w:rsidR="00631F6F" w:rsidRDefault="00023BC7">
      <w:pPr>
        <w:rPr>
          <w:rFonts w:asciiTheme="minorHAnsi" w:hAnsiTheme="minorHAnsi" w:cstheme="minorHAnsi"/>
          <w:b/>
          <w:u w:val="single"/>
          <w:lang w:val="en-GB" w:eastAsia="zh-CN"/>
        </w:rPr>
      </w:pPr>
      <w:r>
        <w:rPr>
          <w:rFonts w:asciiTheme="minorHAnsi" w:hAnsiTheme="minorHAnsi" w:cstheme="minorHAnsi"/>
          <w:b/>
          <w:u w:val="single"/>
          <w:lang w:val="en-GB" w:eastAsia="zh-CN"/>
        </w:rPr>
        <w:t>RAN2 agreements</w:t>
      </w:r>
    </w:p>
    <w:p w:rsidR="00631F6F" w:rsidRDefault="00023BC7">
      <w:pPr>
        <w:rPr>
          <w:rFonts w:asciiTheme="minorHAnsi" w:hAnsiTheme="minorHAnsi" w:cstheme="minorHAnsi"/>
          <w:i/>
          <w:iCs/>
          <w:sz w:val="20"/>
          <w:szCs w:val="20"/>
        </w:rPr>
      </w:pPr>
      <w:r>
        <w:rPr>
          <w:rFonts w:asciiTheme="minorHAnsi" w:hAnsiTheme="minorHAnsi" w:cstheme="minorHAnsi"/>
          <w:i/>
          <w:iCs/>
          <w:sz w:val="20"/>
          <w:szCs w:val="20"/>
          <w:lang w:val="en-GB" w:eastAsia="ja-JP"/>
        </w:rPr>
        <w:t>In RAN2#105bis</w:t>
      </w:r>
    </w:p>
    <w:p w:rsidR="00631F6F" w:rsidRDefault="00023BC7">
      <w:pPr>
        <w:spacing w:before="240"/>
        <w:rPr>
          <w:rFonts w:asciiTheme="minorHAnsi" w:hAnsiTheme="minorHAnsi" w:cstheme="minorHAnsi"/>
          <w:i/>
          <w:iCs/>
          <w:sz w:val="20"/>
          <w:szCs w:val="20"/>
        </w:rPr>
      </w:pPr>
      <w:r>
        <w:rPr>
          <w:rFonts w:asciiTheme="minorHAnsi" w:hAnsiTheme="minorHAnsi" w:cstheme="minorHAnsi"/>
          <w:i/>
          <w:iCs/>
          <w:sz w:val="20"/>
          <w:szCs w:val="20"/>
        </w:rPr>
        <w:t xml:space="preserve">Agreements on SL configured grant: </w:t>
      </w:r>
    </w:p>
    <w:p w:rsidR="00631F6F" w:rsidRDefault="00023BC7">
      <w:pPr>
        <w:ind w:firstLine="425"/>
        <w:rPr>
          <w:rFonts w:asciiTheme="minorHAnsi" w:hAnsiTheme="minorHAnsi" w:cstheme="minorHAnsi"/>
          <w:i/>
          <w:iCs/>
          <w:sz w:val="20"/>
          <w:szCs w:val="20"/>
        </w:rPr>
      </w:pPr>
      <w:r>
        <w:rPr>
          <w:rFonts w:asciiTheme="minorHAnsi" w:hAnsiTheme="minorHAnsi" w:cstheme="minorHAnsi"/>
          <w:i/>
          <w:iCs/>
          <w:sz w:val="20"/>
          <w:szCs w:val="20"/>
        </w:rPr>
        <w:t xml:space="preserve">1: </w:t>
      </w:r>
      <w:r>
        <w:rPr>
          <w:rFonts w:asciiTheme="minorHAnsi" w:hAnsiTheme="minorHAnsi" w:cstheme="minorHAnsi"/>
          <w:i/>
          <w:iCs/>
          <w:sz w:val="20"/>
          <w:szCs w:val="20"/>
        </w:rPr>
        <w:tab/>
        <w:t>Multiple active configured sidelink grants should be supported in NR sidelink.</w:t>
      </w:r>
    </w:p>
    <w:p w:rsidR="00631F6F" w:rsidRDefault="00023BC7">
      <w:pPr>
        <w:ind w:firstLine="425"/>
        <w:rPr>
          <w:rFonts w:asciiTheme="minorHAnsi" w:hAnsiTheme="minorHAnsi" w:cstheme="minorHAnsi"/>
          <w:i/>
          <w:iCs/>
          <w:sz w:val="20"/>
          <w:szCs w:val="20"/>
        </w:rPr>
      </w:pPr>
      <w:r>
        <w:rPr>
          <w:rFonts w:asciiTheme="minorHAnsi" w:hAnsiTheme="minorHAnsi" w:cstheme="minorHAnsi"/>
          <w:i/>
          <w:iCs/>
          <w:sz w:val="20"/>
          <w:szCs w:val="20"/>
        </w:rPr>
        <w:t xml:space="preserve">2: </w:t>
      </w:r>
      <w:r>
        <w:rPr>
          <w:rFonts w:asciiTheme="minorHAnsi" w:hAnsiTheme="minorHAnsi" w:cstheme="minorHAnsi"/>
          <w:i/>
          <w:iCs/>
          <w:sz w:val="20"/>
          <w:szCs w:val="20"/>
        </w:rPr>
        <w:tab/>
        <w:t>A confirmation for activation/deactivation of SL configured grant type-2 is needed. Details are FFS.</w:t>
      </w:r>
    </w:p>
    <w:p w:rsidR="00631F6F" w:rsidRDefault="00023BC7">
      <w:pPr>
        <w:rPr>
          <w:rFonts w:asciiTheme="minorHAnsi" w:hAnsiTheme="minorHAnsi" w:cstheme="minorHAnsi"/>
          <w:i/>
          <w:iCs/>
          <w:sz w:val="20"/>
          <w:szCs w:val="20"/>
        </w:rPr>
      </w:pPr>
      <w:r>
        <w:rPr>
          <w:rFonts w:asciiTheme="minorHAnsi" w:hAnsiTheme="minorHAnsi" w:cstheme="minorHAnsi"/>
          <w:i/>
          <w:iCs/>
          <w:sz w:val="20"/>
          <w:szCs w:val="20"/>
        </w:rPr>
        <w:t xml:space="preserve">Agreements on BSR and UAI: </w:t>
      </w:r>
    </w:p>
    <w:p w:rsidR="00631F6F" w:rsidRDefault="00023BC7">
      <w:pPr>
        <w:ind w:firstLine="425"/>
        <w:rPr>
          <w:rFonts w:asciiTheme="minorHAnsi" w:hAnsiTheme="minorHAnsi" w:cstheme="minorHAnsi"/>
          <w:i/>
          <w:iCs/>
          <w:sz w:val="20"/>
          <w:szCs w:val="20"/>
        </w:rPr>
      </w:pPr>
      <w:r>
        <w:rPr>
          <w:rFonts w:asciiTheme="minorHAnsi" w:hAnsiTheme="minorHAnsi" w:cstheme="minorHAnsi"/>
          <w:i/>
          <w:iCs/>
          <w:sz w:val="20"/>
          <w:szCs w:val="20"/>
        </w:rPr>
        <w:t xml:space="preserve">1: </w:t>
      </w:r>
      <w:r>
        <w:rPr>
          <w:rFonts w:asciiTheme="minorHAnsi" w:hAnsiTheme="minorHAnsi" w:cstheme="minorHAnsi"/>
          <w:i/>
          <w:iCs/>
          <w:sz w:val="20"/>
          <w:szCs w:val="20"/>
        </w:rPr>
        <w:tab/>
        <w:t>For SL BSR, at least adopt buffer size (bit size is FFS), destination index (bit size is FFS) and LCG ID (detailed format and bit size is FFS).</w:t>
      </w:r>
    </w:p>
    <w:p w:rsidR="00631F6F" w:rsidRDefault="00023BC7">
      <w:pPr>
        <w:ind w:firstLine="425"/>
        <w:rPr>
          <w:rFonts w:asciiTheme="minorHAnsi" w:hAnsiTheme="minorHAnsi" w:cstheme="minorHAnsi"/>
          <w:i/>
          <w:iCs/>
          <w:sz w:val="20"/>
          <w:szCs w:val="20"/>
        </w:rPr>
      </w:pPr>
      <w:r>
        <w:rPr>
          <w:rFonts w:asciiTheme="minorHAnsi" w:hAnsiTheme="minorHAnsi" w:cstheme="minorHAnsi"/>
          <w:i/>
          <w:iCs/>
          <w:sz w:val="20"/>
          <w:szCs w:val="20"/>
        </w:rPr>
        <w:t xml:space="preserve">2: </w:t>
      </w:r>
      <w:r>
        <w:rPr>
          <w:rFonts w:asciiTheme="minorHAnsi" w:hAnsiTheme="minorHAnsi" w:cstheme="minorHAnsi"/>
          <w:i/>
          <w:iCs/>
          <w:sz w:val="20"/>
          <w:szCs w:val="20"/>
        </w:rPr>
        <w:tab/>
        <w:t>Support UE assistance information reporting on traffic pattern, including information on periodicity, time offset, message size, QoS info (details are FFS), and destination id.</w:t>
      </w:r>
    </w:p>
    <w:p w:rsidR="00631F6F" w:rsidRDefault="00023BC7">
      <w:pPr>
        <w:rPr>
          <w:rFonts w:asciiTheme="minorHAnsi" w:hAnsiTheme="minorHAnsi" w:cstheme="minorHAnsi"/>
          <w:i/>
          <w:iCs/>
          <w:sz w:val="20"/>
          <w:szCs w:val="20"/>
        </w:rPr>
      </w:pPr>
      <w:r>
        <w:rPr>
          <w:rFonts w:asciiTheme="minorHAnsi" w:hAnsiTheme="minorHAnsi" w:cstheme="minorHAnsi"/>
          <w:i/>
          <w:iCs/>
          <w:sz w:val="20"/>
          <w:szCs w:val="20"/>
        </w:rPr>
        <w:t xml:space="preserve">Agreements on SR: </w:t>
      </w:r>
    </w:p>
    <w:p w:rsidR="00631F6F" w:rsidRDefault="00023BC7">
      <w:pPr>
        <w:ind w:firstLine="425"/>
        <w:rPr>
          <w:rFonts w:asciiTheme="minorHAnsi" w:hAnsiTheme="minorHAnsi" w:cstheme="minorHAnsi"/>
          <w:i/>
          <w:iCs/>
          <w:sz w:val="20"/>
          <w:szCs w:val="20"/>
        </w:rPr>
      </w:pPr>
      <w:r>
        <w:rPr>
          <w:rFonts w:asciiTheme="minorHAnsi" w:hAnsiTheme="minorHAnsi" w:cstheme="minorHAnsi"/>
          <w:i/>
          <w:iCs/>
          <w:sz w:val="20"/>
          <w:szCs w:val="20"/>
        </w:rPr>
        <w:t xml:space="preserve">1: </w:t>
      </w:r>
      <w:r>
        <w:rPr>
          <w:rFonts w:asciiTheme="minorHAnsi" w:hAnsiTheme="minorHAnsi" w:cstheme="minorHAnsi"/>
          <w:i/>
          <w:iCs/>
          <w:sz w:val="20"/>
          <w:szCs w:val="20"/>
        </w:rPr>
        <w:tab/>
        <w:t>For NR Uu controlling NR SL, whether/how to configure separate SR resources and SR configurations for UL and SL is up to gNB implementation (e.g. associating UL LCHs and SL LCHs with different SR configuration IDs respectively).</w:t>
      </w:r>
    </w:p>
    <w:p w:rsidR="00631F6F" w:rsidRDefault="00023BC7">
      <w:pPr>
        <w:ind w:firstLine="425"/>
        <w:rPr>
          <w:rFonts w:asciiTheme="minorHAnsi" w:hAnsiTheme="minorHAnsi" w:cstheme="minorHAnsi"/>
          <w:i/>
          <w:iCs/>
          <w:sz w:val="20"/>
          <w:szCs w:val="20"/>
        </w:rPr>
      </w:pPr>
      <w:r>
        <w:rPr>
          <w:rFonts w:asciiTheme="minorHAnsi" w:hAnsiTheme="minorHAnsi" w:cstheme="minorHAnsi"/>
          <w:i/>
          <w:iCs/>
          <w:sz w:val="20"/>
          <w:szCs w:val="20"/>
        </w:rPr>
        <w:t xml:space="preserve">2: </w:t>
      </w:r>
      <w:r>
        <w:rPr>
          <w:rFonts w:asciiTheme="minorHAnsi" w:hAnsiTheme="minorHAnsi" w:cstheme="minorHAnsi"/>
          <w:i/>
          <w:iCs/>
          <w:sz w:val="20"/>
          <w:szCs w:val="20"/>
        </w:rPr>
        <w:tab/>
        <w:t>As in NR Uu, the mapping between SR configurations and SL LCHs can be achieved by including in each SL LCH configuration the ID of its associated SR configuration, which is associated with a set of SR resources.</w:t>
      </w:r>
    </w:p>
    <w:p w:rsidR="00631F6F" w:rsidRDefault="00631F6F">
      <w:pPr>
        <w:rPr>
          <w:rFonts w:asciiTheme="minorHAnsi" w:hAnsiTheme="minorHAnsi" w:cstheme="minorHAnsi"/>
          <w:b/>
          <w:u w:val="single"/>
          <w:lang w:val="en-GB" w:eastAsia="zh-CN"/>
        </w:rPr>
      </w:pPr>
    </w:p>
    <w:p w:rsidR="00631F6F" w:rsidRDefault="00023BC7">
      <w:pPr>
        <w:rPr>
          <w:rFonts w:asciiTheme="minorHAnsi" w:hAnsiTheme="minorHAnsi" w:cstheme="minorHAnsi"/>
          <w:b/>
          <w:u w:val="single"/>
          <w:lang w:val="en-GB" w:eastAsia="zh-CN"/>
        </w:rPr>
      </w:pPr>
      <w:r>
        <w:rPr>
          <w:rFonts w:asciiTheme="minorHAnsi" w:hAnsiTheme="minorHAnsi" w:cstheme="minorHAnsi"/>
          <w:b/>
          <w:u w:val="single"/>
          <w:lang w:val="en-GB" w:eastAsia="zh-CN"/>
        </w:rPr>
        <w:t>TR38.885:</w:t>
      </w:r>
    </w:p>
    <w:p w:rsidR="00631F6F" w:rsidRDefault="00023BC7">
      <w:pPr>
        <w:pStyle w:val="Heading2"/>
        <w:numPr>
          <w:ilvl w:val="0"/>
          <w:numId w:val="0"/>
        </w:numPr>
        <w:rPr>
          <w:rFonts w:asciiTheme="minorHAnsi" w:hAnsiTheme="minorHAnsi" w:cstheme="minorHAnsi"/>
          <w:b w:val="0"/>
          <w:i/>
          <w:sz w:val="22"/>
        </w:rPr>
      </w:pPr>
      <w:bookmarkStart w:id="5" w:name="_Toc3237556"/>
      <w:r>
        <w:rPr>
          <w:rFonts w:asciiTheme="minorHAnsi" w:hAnsiTheme="minorHAnsi" w:cstheme="minorHAnsi"/>
          <w:b w:val="0"/>
          <w:i/>
          <w:sz w:val="22"/>
        </w:rPr>
        <w:t>5.3</w:t>
      </w:r>
      <w:r>
        <w:rPr>
          <w:rFonts w:asciiTheme="minorHAnsi" w:hAnsiTheme="minorHAnsi" w:cstheme="minorHAnsi"/>
          <w:b w:val="0"/>
          <w:i/>
          <w:sz w:val="22"/>
        </w:rPr>
        <w:tab/>
        <w:t>Resource allocation</w:t>
      </w:r>
      <w:bookmarkEnd w:id="5"/>
    </w:p>
    <w:p w:rsidR="00631F6F" w:rsidRDefault="00023BC7">
      <w:pPr>
        <w:rPr>
          <w:rFonts w:asciiTheme="minorHAnsi" w:hAnsiTheme="minorHAnsi" w:cstheme="minorHAnsi"/>
          <w:i/>
          <w:sz w:val="20"/>
        </w:rPr>
      </w:pPr>
      <w:r>
        <w:rPr>
          <w:rFonts w:asciiTheme="minorHAnsi" w:hAnsiTheme="minorHAnsi" w:cstheme="minorHAnsi"/>
          <w:i/>
          <w:sz w:val="20"/>
        </w:rPr>
        <w:t>The study defines at least the following two SL resource allocation modes:</w:t>
      </w:r>
    </w:p>
    <w:p w:rsidR="00631F6F" w:rsidRDefault="00023BC7">
      <w:pPr>
        <w:rPr>
          <w:rFonts w:asciiTheme="minorHAnsi" w:hAnsiTheme="minorHAnsi" w:cstheme="minorHAnsi"/>
          <w:b/>
          <w:bCs/>
          <w:i/>
          <w:sz w:val="20"/>
          <w:u w:val="single"/>
        </w:rPr>
      </w:pPr>
      <w:r>
        <w:rPr>
          <w:rFonts w:asciiTheme="minorHAnsi" w:hAnsiTheme="minorHAnsi" w:cstheme="minorHAnsi"/>
          <w:b/>
          <w:i/>
          <w:sz w:val="20"/>
        </w:rPr>
        <w:t>Mode  1</w:t>
      </w:r>
      <w:r>
        <w:rPr>
          <w:rFonts w:asciiTheme="minorHAnsi" w:hAnsiTheme="minorHAnsi" w:cstheme="minorHAnsi"/>
          <w:i/>
          <w:sz w:val="20"/>
        </w:rPr>
        <w:t>: BS schedules SL resource(s) to be used by UE for SL transmission(s). See section 6.2.1.</w:t>
      </w:r>
    </w:p>
    <w:p w:rsidR="00631F6F" w:rsidRDefault="00631F6F"/>
    <w:p w:rsidR="00631F6F" w:rsidRDefault="00023BC7">
      <w:pPr>
        <w:rPr>
          <w:rFonts w:asciiTheme="minorHAnsi" w:hAnsiTheme="minorHAnsi" w:cstheme="minorHAnsi"/>
          <w:b/>
          <w:u w:val="single"/>
          <w:lang w:val="en-GB" w:eastAsia="zh-CN"/>
        </w:rPr>
      </w:pPr>
      <w:r>
        <w:rPr>
          <w:rFonts w:asciiTheme="minorHAnsi" w:hAnsiTheme="minorHAnsi" w:cstheme="minorHAnsi"/>
          <w:b/>
          <w:u w:val="single"/>
          <w:lang w:val="en-GB" w:eastAsia="zh-CN"/>
        </w:rPr>
        <w:t>TR38.885:</w:t>
      </w:r>
    </w:p>
    <w:p w:rsidR="00631F6F" w:rsidRDefault="00023BC7">
      <w:pPr>
        <w:pStyle w:val="Heading3"/>
        <w:numPr>
          <w:ilvl w:val="0"/>
          <w:numId w:val="0"/>
        </w:numPr>
        <w:rPr>
          <w:rFonts w:asciiTheme="minorHAnsi" w:hAnsiTheme="minorHAnsi" w:cstheme="minorHAnsi"/>
          <w:b w:val="0"/>
          <w:i/>
          <w:sz w:val="20"/>
        </w:rPr>
      </w:pPr>
      <w:bookmarkStart w:id="6" w:name="_Toc3237573"/>
      <w:r>
        <w:rPr>
          <w:rFonts w:asciiTheme="minorHAnsi" w:hAnsiTheme="minorHAnsi" w:cstheme="minorHAnsi"/>
          <w:b w:val="0"/>
          <w:i/>
          <w:sz w:val="20"/>
        </w:rPr>
        <w:t>6.2.1</w:t>
      </w:r>
      <w:r>
        <w:rPr>
          <w:rFonts w:asciiTheme="minorHAnsi" w:hAnsiTheme="minorHAnsi" w:cstheme="minorHAnsi"/>
          <w:b w:val="0"/>
          <w:i/>
          <w:sz w:val="20"/>
        </w:rPr>
        <w:tab/>
        <w:t>Control of NR SL by NR</w:t>
      </w:r>
      <w:bookmarkEnd w:id="6"/>
    </w:p>
    <w:p w:rsidR="00631F6F" w:rsidRDefault="00023BC7">
      <w:pPr>
        <w:rPr>
          <w:rFonts w:asciiTheme="minorHAnsi" w:hAnsiTheme="minorHAnsi" w:cstheme="minorHAnsi"/>
          <w:i/>
          <w:sz w:val="20"/>
        </w:rPr>
      </w:pPr>
      <w:r>
        <w:rPr>
          <w:rFonts w:asciiTheme="minorHAnsi" w:hAnsiTheme="minorHAnsi" w:cstheme="minorHAnsi"/>
          <w:i/>
          <w:sz w:val="20"/>
        </w:rPr>
        <w:t>The study considers how NR Uu can assign NR SL resources for the cases of (i) a licensed carrier shared between NR Uu and NR SL; and (ii) a carrier dedicated to NR SL. The following techniques are supported for resource allocation Mode 1:</w:t>
      </w:r>
    </w:p>
    <w:p w:rsidR="00631F6F" w:rsidRDefault="00023BC7">
      <w:pPr>
        <w:pStyle w:val="B1"/>
        <w:rPr>
          <w:rFonts w:asciiTheme="minorHAnsi" w:hAnsiTheme="minorHAnsi" w:cstheme="minorHAnsi"/>
          <w:i/>
          <w:sz w:val="18"/>
        </w:rPr>
      </w:pPr>
      <w:r>
        <w:rPr>
          <w:rFonts w:asciiTheme="minorHAnsi" w:hAnsiTheme="minorHAnsi" w:cstheme="minorHAnsi"/>
          <w:i/>
          <w:sz w:val="18"/>
        </w:rPr>
        <w:t>-</w:t>
      </w:r>
      <w:r>
        <w:rPr>
          <w:rFonts w:asciiTheme="minorHAnsi" w:hAnsiTheme="minorHAnsi" w:cstheme="minorHAnsi"/>
          <w:i/>
          <w:sz w:val="18"/>
        </w:rPr>
        <w:tab/>
        <w:t>Dynamic resource allocation</w:t>
      </w:r>
    </w:p>
    <w:p w:rsidR="00631F6F" w:rsidRDefault="00023BC7">
      <w:pPr>
        <w:pStyle w:val="B1"/>
        <w:rPr>
          <w:rFonts w:asciiTheme="minorHAnsi" w:hAnsiTheme="minorHAnsi" w:cstheme="minorHAnsi"/>
          <w:i/>
          <w:sz w:val="18"/>
        </w:rPr>
      </w:pPr>
      <w:r>
        <w:rPr>
          <w:rFonts w:asciiTheme="minorHAnsi" w:hAnsiTheme="minorHAnsi" w:cstheme="minorHAnsi"/>
          <w:i/>
          <w:sz w:val="18"/>
        </w:rPr>
        <w:t>-</w:t>
      </w:r>
      <w:r>
        <w:rPr>
          <w:rFonts w:asciiTheme="minorHAnsi" w:hAnsiTheme="minorHAnsi" w:cstheme="minorHAnsi"/>
          <w:i/>
          <w:sz w:val="18"/>
        </w:rPr>
        <w:tab/>
        <w:t>Configured grant Type 1 and Type 2</w:t>
      </w:r>
    </w:p>
    <w:p w:rsidR="00631F6F" w:rsidRDefault="00023BC7">
      <w:pPr>
        <w:rPr>
          <w:rFonts w:asciiTheme="minorHAnsi" w:hAnsiTheme="minorHAnsi" w:cstheme="minorHAnsi"/>
          <w:i/>
          <w:sz w:val="20"/>
        </w:rPr>
      </w:pPr>
      <w:r>
        <w:rPr>
          <w:rFonts w:asciiTheme="minorHAnsi" w:hAnsiTheme="minorHAnsi" w:cstheme="minorHAnsi"/>
          <w:i/>
          <w:sz w:val="20"/>
        </w:rPr>
        <w:t>In the above, the level of network control is also studied, for example whether the UE may select other parameters (e.g., MCS) and/or the exact transmission resources, and whether the selection is autonomous or not.</w:t>
      </w:r>
    </w:p>
    <w:p w:rsidR="00631F6F" w:rsidRDefault="00631F6F">
      <w:pPr>
        <w:rPr>
          <w:rFonts w:asciiTheme="minorHAnsi" w:hAnsiTheme="minorHAnsi" w:cstheme="minorHAnsi"/>
        </w:rPr>
      </w:pPr>
    </w:p>
    <w:p w:rsidR="00631F6F" w:rsidRDefault="00023BC7">
      <w:pPr>
        <w:pStyle w:val="Heading1"/>
        <w:numPr>
          <w:ilvl w:val="0"/>
          <w:numId w:val="3"/>
        </w:numPr>
        <w:rPr>
          <w:rFonts w:asciiTheme="minorHAnsi" w:hAnsiTheme="minorHAnsi" w:cstheme="minorHAnsi"/>
        </w:rPr>
      </w:pPr>
      <w:r>
        <w:rPr>
          <w:rFonts w:asciiTheme="minorHAnsi" w:hAnsiTheme="minorHAnsi" w:cstheme="minorHAnsi"/>
        </w:rPr>
        <w:t>NR Uu enhancements to enable NR sidelink mode 1</w:t>
      </w:r>
    </w:p>
    <w:p w:rsidR="00631F6F" w:rsidRDefault="00631F6F">
      <w:pPr>
        <w:rPr>
          <w:rFonts w:asciiTheme="minorHAnsi" w:hAnsiTheme="minorHAnsi" w:cstheme="minorHAnsi"/>
          <w:lang w:eastAsia="zh-CN"/>
        </w:rPr>
      </w:pPr>
    </w:p>
    <w:p w:rsidR="00255549" w:rsidRDefault="00255549" w:rsidP="000C4593">
      <w:pPr>
        <w:rPr>
          <w:rFonts w:ascii="Times" w:hAnsi="Times"/>
          <w:lang w:eastAsia="x-none"/>
        </w:rPr>
      </w:pPr>
    </w:p>
    <w:p w:rsidR="00631F6F" w:rsidRDefault="00023BC7">
      <w:pPr>
        <w:pStyle w:val="Heading2"/>
        <w:numPr>
          <w:ilvl w:val="0"/>
          <w:numId w:val="0"/>
        </w:numPr>
      </w:pPr>
      <w:r>
        <w:rPr>
          <w:rFonts w:asciiTheme="minorHAnsi" w:hAnsiTheme="minorHAnsi" w:cstheme="minorHAnsi"/>
          <w:lang w:val="en-US"/>
        </w:rPr>
        <w:lastRenderedPageBreak/>
        <w:t>Issue 6.1   Shared Carrier</w:t>
      </w:r>
    </w:p>
    <w:p w:rsidR="00631F6F" w:rsidRDefault="00631F6F">
      <w:pPr>
        <w:rPr>
          <w:rFonts w:asciiTheme="minorHAnsi" w:hAnsiTheme="minorHAnsi" w:cstheme="minorHAnsi"/>
        </w:rPr>
      </w:pPr>
    </w:p>
    <w:p w:rsidR="00631F6F" w:rsidRDefault="00023BC7">
      <w:r>
        <w:rPr>
          <w:rFonts w:asciiTheme="minorHAnsi" w:hAnsiTheme="minorHAnsi" w:cstheme="minorHAnsi"/>
        </w:rPr>
        <w:t>Agreements [RAN1 #99]:</w:t>
      </w:r>
    </w:p>
    <w:p w:rsidR="00631F6F" w:rsidRDefault="00023BC7">
      <w:r>
        <w:rPr>
          <w:rFonts w:asciiTheme="minorHAnsi" w:hAnsiTheme="minorHAnsi" w:cstheme="minorHAnsi"/>
        </w:rPr>
        <w:tab/>
        <w:t>• NR supports SL transmissions at least in cell-specific UL resources in Uu.</w:t>
      </w:r>
    </w:p>
    <w:p w:rsidR="00631F6F" w:rsidRDefault="00023BC7">
      <w:pPr>
        <w:rPr>
          <w:rFonts w:asciiTheme="minorHAnsi" w:eastAsiaTheme="minorEastAsia" w:hAnsiTheme="minorHAnsi" w:cstheme="minorHAnsi"/>
        </w:rPr>
      </w:pPr>
      <w:r>
        <w:rPr>
          <w:rFonts w:asciiTheme="minorHAnsi" w:eastAsiaTheme="minorEastAsia" w:hAnsiTheme="minorHAnsi" w:cstheme="minorHAnsi"/>
        </w:rPr>
        <w:t>It is possible that a shared TDD carrier is configured with a significant number of flexible slots which reduces the number of available resources for sidelink transmission. Therefore, it would be beneficial if flexible slots/symbols can be made available for sidelink transmission. A resource pool is expected to support traffic with a wide-range of requirements, e.g. high throughput, low latency, etc, but if only sparse cell-specific UL slots are available for SL it is difficult to support high data rates and low latency. </w:t>
      </w:r>
    </w:p>
    <w:p w:rsidR="00631F6F" w:rsidRDefault="00631F6F">
      <w:pPr>
        <w:rPr>
          <w:rFonts w:asciiTheme="minorHAnsi" w:eastAsiaTheme="minorEastAsia" w:hAnsiTheme="minorHAnsi" w:cstheme="minorHAnsi"/>
        </w:rPr>
      </w:pPr>
    </w:p>
    <w:p w:rsidR="00631F6F" w:rsidRDefault="00023BC7">
      <w:pPr>
        <w:rPr>
          <w:rFonts w:asciiTheme="minorHAnsi" w:eastAsiaTheme="minorEastAsia" w:hAnsiTheme="minorHAnsi" w:cstheme="minorHAnsi"/>
        </w:rPr>
      </w:pPr>
      <w:r>
        <w:rPr>
          <w:rFonts w:asciiTheme="minorHAnsi" w:eastAsiaTheme="minorEastAsia" w:hAnsiTheme="minorHAnsi" w:cstheme="minorHAnsi"/>
          <w:b/>
          <w:bCs/>
          <w:u w:val="single"/>
        </w:rPr>
        <w:t xml:space="preserve">Observation </w:t>
      </w:r>
      <w:r w:rsidR="00752BBC">
        <w:rPr>
          <w:rFonts w:asciiTheme="minorHAnsi" w:eastAsiaTheme="minorEastAsia" w:hAnsiTheme="minorHAnsi" w:cstheme="minorHAnsi"/>
          <w:b/>
          <w:bCs/>
          <w:u w:val="single"/>
        </w:rPr>
        <w:t>1</w:t>
      </w:r>
      <w:r>
        <w:rPr>
          <w:rFonts w:asciiTheme="minorHAnsi" w:eastAsiaTheme="minorEastAsia" w:hAnsiTheme="minorHAnsi" w:cstheme="minorHAnsi"/>
        </w:rPr>
        <w:t xml:space="preserve"> On shared TDD carrier, SL on cell-specific UL slots only, limits throughput and delay of transmissions.</w:t>
      </w:r>
    </w:p>
    <w:p w:rsidR="00631F6F" w:rsidRDefault="00631F6F">
      <w:pPr>
        <w:rPr>
          <w:rFonts w:asciiTheme="minorHAnsi" w:eastAsiaTheme="minorEastAsia" w:hAnsiTheme="minorHAnsi" w:cstheme="minorHAnsi"/>
        </w:rPr>
      </w:pPr>
    </w:p>
    <w:p w:rsidR="00631F6F" w:rsidRDefault="00023BC7">
      <w:pPr>
        <w:rPr>
          <w:rFonts w:asciiTheme="minorHAnsi" w:eastAsiaTheme="minorEastAsia" w:hAnsiTheme="minorHAnsi" w:cstheme="minorHAnsi"/>
        </w:rPr>
      </w:pPr>
      <w:r>
        <w:rPr>
          <w:rFonts w:asciiTheme="minorHAnsi" w:eastAsiaTheme="minorEastAsia" w:hAnsiTheme="minorHAnsi" w:cstheme="minorHAnsi"/>
          <w:b/>
          <w:bCs/>
          <w:u w:val="single"/>
        </w:rPr>
        <w:t xml:space="preserve">Proposal </w:t>
      </w:r>
      <w:r w:rsidR="00752BBC">
        <w:rPr>
          <w:rFonts w:asciiTheme="minorHAnsi" w:eastAsiaTheme="minorEastAsia" w:hAnsiTheme="minorHAnsi" w:cstheme="minorHAnsi"/>
          <w:b/>
          <w:bCs/>
          <w:u w:val="single"/>
        </w:rPr>
        <w:t>1</w:t>
      </w:r>
      <w:r>
        <w:rPr>
          <w:rFonts w:asciiTheme="minorHAnsi" w:eastAsiaTheme="minorEastAsia" w:hAnsiTheme="minorHAnsi" w:cstheme="minorHAnsi"/>
        </w:rPr>
        <w:t xml:space="preserve"> On shared TDD carrier, support sidelink transmission on flexible slots.</w:t>
      </w:r>
    </w:p>
    <w:p w:rsidR="00631F6F" w:rsidRDefault="00631F6F">
      <w:pPr>
        <w:rPr>
          <w:rFonts w:asciiTheme="minorHAnsi" w:eastAsiaTheme="minorEastAsia" w:hAnsiTheme="minorHAnsi" w:cstheme="minorHAnsi"/>
        </w:rPr>
      </w:pPr>
    </w:p>
    <w:p w:rsidR="00631F6F" w:rsidRDefault="00023BC7">
      <w:pPr>
        <w:rPr>
          <w:rFonts w:asciiTheme="minorHAnsi" w:eastAsiaTheme="minorEastAsia" w:hAnsiTheme="minorHAnsi" w:cstheme="minorHAnsi"/>
        </w:rPr>
      </w:pPr>
      <w:r>
        <w:rPr>
          <w:rFonts w:asciiTheme="minorHAnsi" w:eastAsiaTheme="minorEastAsia" w:hAnsiTheme="minorHAnsi" w:cstheme="minorHAnsi"/>
        </w:rPr>
        <w:t>Evidently, making flexible slots available for SL comes at the expense of reduced resources for UL/DL. Thus, a more dynamic scheme where flexible slots are made available for SL temporarily to support asynchronous high-data traffic is desirable.</w:t>
      </w:r>
    </w:p>
    <w:p w:rsidR="00631F6F" w:rsidRDefault="00631F6F">
      <w:pPr>
        <w:rPr>
          <w:rFonts w:asciiTheme="minorHAnsi" w:eastAsiaTheme="minorEastAsia" w:hAnsiTheme="minorHAnsi" w:cstheme="minorHAnsi"/>
        </w:rPr>
      </w:pPr>
    </w:p>
    <w:p w:rsidR="00631F6F" w:rsidRDefault="00023BC7">
      <w:pPr>
        <w:snapToGrid/>
        <w:spacing w:after="0"/>
        <w:jc w:val="left"/>
        <w:rPr>
          <w:rFonts w:asciiTheme="minorHAnsi" w:hAnsiTheme="minorHAnsi" w:cstheme="minorHAnsi"/>
          <w:lang w:eastAsia="zh-CN"/>
        </w:rPr>
      </w:pPr>
      <w:r>
        <w:rPr>
          <w:rFonts w:asciiTheme="minorHAnsi" w:eastAsiaTheme="minorEastAsia" w:hAnsiTheme="minorHAnsi" w:cstheme="minorHAnsi"/>
          <w:b/>
          <w:bCs/>
          <w:u w:val="single"/>
        </w:rPr>
        <w:t xml:space="preserve">Proposal </w:t>
      </w:r>
      <w:r w:rsidR="00752BBC">
        <w:rPr>
          <w:rFonts w:asciiTheme="minorHAnsi" w:eastAsiaTheme="minorEastAsia" w:hAnsiTheme="minorHAnsi" w:cstheme="minorHAnsi"/>
          <w:b/>
          <w:bCs/>
          <w:u w:val="single"/>
        </w:rPr>
        <w:t xml:space="preserve">2 </w:t>
      </w:r>
      <w:r>
        <w:rPr>
          <w:rFonts w:asciiTheme="minorHAnsi" w:eastAsiaTheme="minorEastAsia" w:hAnsiTheme="minorHAnsi" w:cstheme="minorHAnsi"/>
        </w:rPr>
        <w:t>Allow to allocate flexible slots for SL temporally.</w:t>
      </w:r>
      <w:r>
        <w:rPr>
          <w:rFonts w:ascii="CMBX12" w:hAnsi="CMBX12" w:cs="CMBX12"/>
          <w:sz w:val="24"/>
          <w:szCs w:val="24"/>
        </w:rPr>
        <w:t xml:space="preserve"> FFS mechanism to enable flexible sharing between Uu resources and SL resources.</w:t>
      </w:r>
    </w:p>
    <w:p w:rsidR="00631F6F" w:rsidRDefault="00631F6F">
      <w:pPr>
        <w:rPr>
          <w:rFonts w:asciiTheme="minorHAnsi" w:eastAsiaTheme="minorEastAsia" w:hAnsiTheme="minorHAnsi" w:cstheme="minorHAnsi"/>
        </w:rPr>
      </w:pPr>
    </w:p>
    <w:p w:rsidR="00631F6F" w:rsidRDefault="00023BC7">
      <w:pPr>
        <w:snapToGrid/>
        <w:spacing w:after="0"/>
        <w:jc w:val="left"/>
        <w:rPr>
          <w:rFonts w:asciiTheme="minorHAnsi" w:hAnsiTheme="minorHAnsi" w:cstheme="minorHAnsi"/>
        </w:rPr>
      </w:pPr>
      <w:r>
        <w:rPr>
          <w:rFonts w:asciiTheme="minorHAnsi" w:hAnsiTheme="minorHAnsi" w:cstheme="minorHAnsi"/>
        </w:rPr>
        <w:t xml:space="preserve"> </w:t>
      </w:r>
    </w:p>
    <w:p w:rsidR="00631F6F" w:rsidRDefault="00631F6F">
      <w:pPr>
        <w:snapToGrid/>
        <w:spacing w:after="0"/>
        <w:jc w:val="left"/>
        <w:rPr>
          <w:rFonts w:asciiTheme="minorHAnsi" w:hAnsiTheme="minorHAnsi" w:cstheme="minorHAnsi"/>
        </w:rPr>
      </w:pPr>
    </w:p>
    <w:p w:rsidR="00631F6F" w:rsidRDefault="00023BC7">
      <w:pPr>
        <w:pStyle w:val="Heading2"/>
        <w:numPr>
          <w:ilvl w:val="0"/>
          <w:numId w:val="0"/>
        </w:numPr>
        <w:rPr>
          <w:rFonts w:asciiTheme="minorHAnsi" w:hAnsiTheme="minorHAnsi" w:cstheme="minorHAnsi"/>
          <w:lang w:val="en-US"/>
        </w:rPr>
      </w:pPr>
      <w:r>
        <w:rPr>
          <w:rFonts w:asciiTheme="minorHAnsi" w:hAnsiTheme="minorHAnsi" w:cstheme="minorHAnsi"/>
          <w:lang w:val="en-US"/>
        </w:rPr>
        <w:t>Issue 9.1</w:t>
      </w:r>
      <w:r>
        <w:rPr>
          <w:rFonts w:asciiTheme="minorHAnsi" w:hAnsiTheme="minorHAnsi" w:cstheme="minorHAnsi"/>
          <w:lang w:val="en-US"/>
        </w:rPr>
        <w:tab/>
        <w:t>UE reports</w:t>
      </w:r>
    </w:p>
    <w:p w:rsidR="00631F6F" w:rsidRDefault="00631F6F">
      <w:pPr>
        <w:snapToGrid/>
        <w:spacing w:after="0"/>
        <w:jc w:val="left"/>
        <w:rPr>
          <w:rFonts w:asciiTheme="minorHAnsi" w:hAnsiTheme="minorHAnsi" w:cstheme="minorHAnsi"/>
        </w:rPr>
      </w:pPr>
    </w:p>
    <w:p w:rsidR="00631F6F" w:rsidRDefault="00023BC7">
      <w:pPr>
        <w:snapToGrid/>
        <w:spacing w:after="0"/>
        <w:rPr>
          <w:rFonts w:asciiTheme="minorHAnsi" w:hAnsiTheme="minorHAnsi" w:cstheme="minorHAnsi"/>
        </w:rPr>
      </w:pPr>
      <w:r>
        <w:rPr>
          <w:rFonts w:asciiTheme="minorHAnsi" w:hAnsiTheme="minorHAnsi" w:cstheme="minorHAnsi"/>
        </w:rPr>
        <w:t xml:space="preserve">It has been proposed in RAN1 to use LTE-V2X congestion control as a basis for NR-V2X congestion control design. Assuming the same baseline principles are kept, most of the congestion control is performed at UE side (CBR measurement, CR-limit compliance…) under RRC configuration control. Still it would be beneficial to report CBR to the gNB so that the latter can take medium occupancy into account to dimension configured resources or number of configured resources for upcoming configured grants. </w:t>
      </w:r>
    </w:p>
    <w:p w:rsidR="00631F6F" w:rsidRDefault="00631F6F">
      <w:pPr>
        <w:snapToGrid/>
        <w:spacing w:after="0"/>
        <w:jc w:val="left"/>
        <w:rPr>
          <w:rFonts w:asciiTheme="minorHAnsi" w:hAnsiTheme="minorHAnsi" w:cstheme="minorHAnsi"/>
        </w:rPr>
      </w:pPr>
    </w:p>
    <w:p w:rsidR="00631F6F" w:rsidRDefault="00023BC7">
      <w:pPr>
        <w:rPr>
          <w:color w:val="000000"/>
          <w:sz w:val="24"/>
          <w:szCs w:val="24"/>
        </w:rPr>
      </w:pPr>
      <w:r>
        <w:rPr>
          <w:rFonts w:asciiTheme="minorHAnsi" w:eastAsiaTheme="minorEastAsia" w:hAnsiTheme="minorHAnsi" w:cstheme="minorHAnsi"/>
          <w:b/>
          <w:bCs/>
          <w:u w:val="single"/>
        </w:rPr>
        <w:t xml:space="preserve">Proposal </w:t>
      </w:r>
      <w:r w:rsidR="00752BBC">
        <w:rPr>
          <w:rFonts w:asciiTheme="minorHAnsi" w:eastAsiaTheme="minorEastAsia" w:hAnsiTheme="minorHAnsi" w:cstheme="minorHAnsi"/>
          <w:b/>
          <w:bCs/>
          <w:u w:val="single"/>
        </w:rPr>
        <w:t>3</w:t>
      </w:r>
      <w:r>
        <w:rPr>
          <w:b/>
          <w:bCs/>
          <w:color w:val="000000"/>
          <w:sz w:val="24"/>
          <w:szCs w:val="24"/>
          <w:u w:val="single"/>
        </w:rPr>
        <w:t xml:space="preserve"> </w:t>
      </w:r>
      <w:r>
        <w:rPr>
          <w:rFonts w:asciiTheme="minorHAnsi" w:eastAsiaTheme="minorEastAsia" w:hAnsiTheme="minorHAnsi" w:cstheme="minorHAnsi"/>
        </w:rPr>
        <w:t>NR supports UE reports of CBR</w:t>
      </w:r>
      <w:r>
        <w:rPr>
          <w:color w:val="000000"/>
          <w:sz w:val="24"/>
          <w:szCs w:val="24"/>
        </w:rPr>
        <w:t>.</w:t>
      </w:r>
    </w:p>
    <w:p w:rsidR="00631F6F" w:rsidRDefault="00631F6F">
      <w:pPr>
        <w:snapToGrid/>
        <w:spacing w:after="0"/>
        <w:jc w:val="left"/>
        <w:rPr>
          <w:rFonts w:asciiTheme="minorHAnsi" w:hAnsiTheme="minorHAnsi" w:cstheme="minorHAnsi"/>
          <w:b/>
          <w:bCs/>
          <w:sz w:val="28"/>
          <w:szCs w:val="28"/>
        </w:rPr>
      </w:pPr>
    </w:p>
    <w:p w:rsidR="00631F6F" w:rsidRDefault="00023BC7">
      <w:pPr>
        <w:pStyle w:val="Heading2"/>
        <w:numPr>
          <w:ilvl w:val="0"/>
          <w:numId w:val="0"/>
        </w:numPr>
        <w:rPr>
          <w:rFonts w:asciiTheme="minorHAnsi" w:hAnsiTheme="minorHAnsi" w:cstheme="minorHAnsi"/>
          <w:lang w:val="en-US"/>
        </w:rPr>
      </w:pPr>
      <w:r>
        <w:rPr>
          <w:rFonts w:asciiTheme="minorHAnsi" w:hAnsiTheme="minorHAnsi" w:cstheme="minorHAnsi"/>
          <w:lang w:val="en-US"/>
        </w:rPr>
        <w:t>Issue 10.2</w:t>
      </w:r>
      <w:r>
        <w:rPr>
          <w:rFonts w:asciiTheme="minorHAnsi" w:hAnsiTheme="minorHAnsi" w:cstheme="minorHAnsi"/>
          <w:lang w:val="en-US"/>
        </w:rPr>
        <w:tab/>
        <w:t>Pre-emption</w:t>
      </w:r>
    </w:p>
    <w:p w:rsidR="00631F6F" w:rsidRDefault="00023BC7">
      <w:pPr>
        <w:snapToGrid/>
        <w:spacing w:after="0"/>
        <w:rPr>
          <w:rFonts w:asciiTheme="minorHAnsi" w:hAnsiTheme="minorHAnsi" w:cstheme="minorHAnsi"/>
        </w:rPr>
      </w:pPr>
      <w:r>
        <w:rPr>
          <w:rFonts w:asciiTheme="minorHAnsi" w:hAnsiTheme="minorHAnsi" w:cstheme="minorHAnsi"/>
        </w:rPr>
        <w:t xml:space="preserve">In heavy traffic situations, when many users are requesting traffic, the gNB will allocate all or major portion of sidelink resources. If in this situation, the gNB receives a request for high priority transmission, and it has scheduled all sidelink resources, in a mix of dynamic and periodic (SPS, configured grant type 1, type 2, etc) allocations, it may not be able to schedule the resources for the high priority transmission in a timely manner. Waiting for the suitable resources getting freed up will result in violation of the quality of service (QoS) targets for the traffic in question, and will degrade the system efficiency. To be able to accommodate the additional high priority traffic, during the time the gNB does not have sufficient resources available for the target traffic, a mechanism can be envisaged where the gNB can free up </w:t>
      </w:r>
      <w:r>
        <w:rPr>
          <w:rFonts w:asciiTheme="minorHAnsi" w:hAnsiTheme="minorHAnsi" w:cstheme="minorHAnsi"/>
        </w:rPr>
        <w:lastRenderedPageBreak/>
        <w:t>sidelink resources which have been pre-allocated to some users. The newly freed resources can, thus, be quickly used for the transmission of high priority traffic within their QoS constraints. To liberate the pre-allocated resources, the base station can send a blocking indication to free up the configured grant resources. This blocking indication can be transmitted prior to the configured grant occasion(s), target of blocking, with a certain margin to allow the decodability of this blocking indication at the users configured to use this resource.</w:t>
      </w:r>
    </w:p>
    <w:p w:rsidR="00631F6F" w:rsidRDefault="00631F6F">
      <w:pPr>
        <w:rPr>
          <w:rFonts w:cstheme="minorHAnsi"/>
          <w:b/>
          <w:bCs/>
          <w:u w:val="single"/>
        </w:rPr>
      </w:pPr>
    </w:p>
    <w:p w:rsidR="00631F6F" w:rsidRDefault="00023BC7">
      <w:pPr>
        <w:rPr>
          <w:rFonts w:asciiTheme="minorHAnsi" w:hAnsiTheme="minorHAnsi" w:cstheme="minorHAnsi"/>
        </w:rPr>
      </w:pPr>
      <w:r>
        <w:rPr>
          <w:rFonts w:cstheme="minorHAnsi"/>
          <w:b/>
          <w:bCs/>
          <w:u w:val="single"/>
        </w:rPr>
        <w:t xml:space="preserve">Proposal </w:t>
      </w:r>
      <w:r w:rsidR="00752BBC">
        <w:rPr>
          <w:rFonts w:cstheme="minorHAnsi"/>
          <w:b/>
          <w:bCs/>
          <w:u w:val="single"/>
        </w:rPr>
        <w:t>4</w:t>
      </w:r>
      <w:r>
        <w:rPr>
          <w:rFonts w:cstheme="minorHAnsi"/>
          <w:b/>
          <w:bCs/>
          <w:u w:val="single"/>
        </w:rPr>
        <w:t xml:space="preserve"> </w:t>
      </w:r>
      <w:r>
        <w:rPr>
          <w:rFonts w:asciiTheme="minorHAnsi" w:hAnsiTheme="minorHAnsi" w:cstheme="minorHAnsi"/>
        </w:rPr>
        <w:t>The gNB can transmit a blocking indication to restrict the usage of sidelink configured grant resources which it pre-allocated to one or a group of sidelink users.</w:t>
      </w:r>
    </w:p>
    <w:p w:rsidR="00631F6F" w:rsidRDefault="00631F6F">
      <w:pPr>
        <w:snapToGrid/>
        <w:spacing w:after="0"/>
        <w:jc w:val="left"/>
        <w:rPr>
          <w:rFonts w:asciiTheme="minorHAnsi" w:hAnsiTheme="minorHAnsi" w:cstheme="minorHAnsi"/>
          <w:b/>
          <w:bCs/>
          <w:sz w:val="28"/>
          <w:szCs w:val="28"/>
        </w:rPr>
      </w:pPr>
    </w:p>
    <w:p w:rsidR="00631F6F" w:rsidRDefault="00023BC7">
      <w:pPr>
        <w:pStyle w:val="Heading1"/>
        <w:numPr>
          <w:ilvl w:val="0"/>
          <w:numId w:val="3"/>
        </w:numPr>
        <w:tabs>
          <w:tab w:val="clear" w:pos="432"/>
        </w:tabs>
        <w:rPr>
          <w:rFonts w:asciiTheme="minorHAnsi" w:hAnsiTheme="minorHAnsi" w:cstheme="minorHAnsi"/>
        </w:rPr>
      </w:pPr>
      <w:r>
        <w:rPr>
          <w:rFonts w:asciiTheme="minorHAnsi" w:hAnsiTheme="minorHAnsi" w:cstheme="minorHAnsi"/>
        </w:rPr>
        <w:t>Conclusions</w:t>
      </w:r>
    </w:p>
    <w:p w:rsidR="00631F6F" w:rsidRDefault="00023BC7">
      <w:pPr>
        <w:rPr>
          <w:rFonts w:asciiTheme="minorHAnsi" w:hAnsiTheme="minorHAnsi" w:cstheme="minorHAnsi"/>
          <w:lang w:eastAsia="zh-CN"/>
        </w:rPr>
      </w:pPr>
      <w:r>
        <w:rPr>
          <w:rFonts w:asciiTheme="minorHAnsi" w:hAnsiTheme="minorHAnsi" w:cstheme="minorHAnsi"/>
          <w:lang w:eastAsia="zh-CN"/>
        </w:rPr>
        <w:t>The following proposals have been made in this document.</w:t>
      </w:r>
    </w:p>
    <w:p w:rsidR="00631F6F" w:rsidRDefault="00023BC7">
      <w:pPr>
        <w:rPr>
          <w:rFonts w:asciiTheme="minorHAnsi" w:eastAsiaTheme="minorEastAsia" w:hAnsiTheme="minorHAnsi" w:cstheme="minorHAnsi"/>
        </w:rPr>
      </w:pPr>
      <w:r>
        <w:rPr>
          <w:rFonts w:asciiTheme="minorHAnsi" w:eastAsiaTheme="minorEastAsia" w:hAnsiTheme="minorHAnsi" w:cstheme="minorHAnsi"/>
          <w:b/>
          <w:bCs/>
          <w:u w:val="single"/>
        </w:rPr>
        <w:t xml:space="preserve">Observation </w:t>
      </w:r>
      <w:r w:rsidR="00752BBC">
        <w:rPr>
          <w:rFonts w:asciiTheme="minorHAnsi" w:eastAsiaTheme="minorEastAsia" w:hAnsiTheme="minorHAnsi" w:cstheme="minorHAnsi"/>
          <w:b/>
          <w:bCs/>
          <w:u w:val="single"/>
        </w:rPr>
        <w:t>1</w:t>
      </w:r>
      <w:r>
        <w:rPr>
          <w:rFonts w:asciiTheme="minorHAnsi" w:eastAsiaTheme="minorEastAsia" w:hAnsiTheme="minorHAnsi" w:cstheme="minorHAnsi"/>
        </w:rPr>
        <w:t xml:space="preserve"> On shared TDD carrier, SL on cell-specific UL slots only, limits throughput and delay of transmissions.</w:t>
      </w:r>
    </w:p>
    <w:p w:rsidR="00631F6F" w:rsidRDefault="00023BC7">
      <w:pPr>
        <w:rPr>
          <w:rFonts w:asciiTheme="minorHAnsi" w:eastAsiaTheme="minorEastAsia" w:hAnsiTheme="minorHAnsi" w:cstheme="minorHAnsi"/>
        </w:rPr>
      </w:pPr>
      <w:r>
        <w:rPr>
          <w:rFonts w:asciiTheme="minorHAnsi" w:eastAsiaTheme="minorEastAsia" w:hAnsiTheme="minorHAnsi" w:cstheme="minorHAnsi"/>
          <w:b/>
          <w:bCs/>
          <w:u w:val="single"/>
        </w:rPr>
        <w:t xml:space="preserve">Proposal </w:t>
      </w:r>
      <w:r w:rsidR="00752BBC">
        <w:rPr>
          <w:rFonts w:asciiTheme="minorHAnsi" w:eastAsiaTheme="minorEastAsia" w:hAnsiTheme="minorHAnsi" w:cstheme="minorHAnsi"/>
          <w:b/>
          <w:bCs/>
          <w:u w:val="single"/>
        </w:rPr>
        <w:t>1</w:t>
      </w:r>
      <w:r>
        <w:rPr>
          <w:rFonts w:asciiTheme="minorHAnsi" w:eastAsiaTheme="minorEastAsia" w:hAnsiTheme="minorHAnsi" w:cstheme="minorHAnsi"/>
        </w:rPr>
        <w:t xml:space="preserve"> On shared TDD carrier, support sidelink transmission on flexible slots.</w:t>
      </w:r>
    </w:p>
    <w:p w:rsidR="00631F6F" w:rsidRDefault="00023BC7">
      <w:pPr>
        <w:snapToGrid/>
        <w:spacing w:after="0"/>
        <w:jc w:val="left"/>
        <w:rPr>
          <w:rFonts w:ascii="CMBX12" w:hAnsi="CMBX12" w:cs="CMBX12" w:hint="eastAsia"/>
          <w:sz w:val="24"/>
          <w:szCs w:val="24"/>
        </w:rPr>
      </w:pPr>
      <w:r>
        <w:rPr>
          <w:rFonts w:asciiTheme="minorHAnsi" w:eastAsiaTheme="minorEastAsia" w:hAnsiTheme="minorHAnsi" w:cstheme="minorHAnsi"/>
          <w:b/>
          <w:bCs/>
          <w:u w:val="single"/>
        </w:rPr>
        <w:t xml:space="preserve">Proposal </w:t>
      </w:r>
      <w:r w:rsidR="00752BBC">
        <w:rPr>
          <w:rFonts w:asciiTheme="minorHAnsi" w:eastAsiaTheme="minorEastAsia" w:hAnsiTheme="minorHAnsi" w:cstheme="minorHAnsi"/>
          <w:b/>
          <w:bCs/>
          <w:u w:val="single"/>
        </w:rPr>
        <w:t>2</w:t>
      </w:r>
      <w:r>
        <w:rPr>
          <w:rFonts w:asciiTheme="minorHAnsi" w:eastAsiaTheme="minorEastAsia" w:hAnsiTheme="minorHAnsi" w:cstheme="minorHAnsi"/>
        </w:rPr>
        <w:t xml:space="preserve"> Allow to allocate flexible slots for SL temporally.</w:t>
      </w:r>
      <w:r>
        <w:rPr>
          <w:rFonts w:ascii="CMBX12" w:hAnsi="CMBX12" w:cs="CMBX12"/>
          <w:sz w:val="24"/>
          <w:szCs w:val="24"/>
        </w:rPr>
        <w:t xml:space="preserve"> FFS mechanism</w:t>
      </w:r>
    </w:p>
    <w:p w:rsidR="00631F6F" w:rsidRDefault="00023BC7">
      <w:pPr>
        <w:rPr>
          <w:rFonts w:asciiTheme="minorHAnsi" w:hAnsiTheme="minorHAnsi" w:cstheme="minorHAnsi"/>
          <w:lang w:eastAsia="zh-CN"/>
        </w:rPr>
      </w:pPr>
      <w:r>
        <w:rPr>
          <w:rFonts w:ascii="CMBX12" w:hAnsi="CMBX12" w:cs="CMBX12"/>
          <w:sz w:val="24"/>
          <w:szCs w:val="24"/>
        </w:rPr>
        <w:t>to enable flexible sharing between Uu resources and SL resources.</w:t>
      </w:r>
    </w:p>
    <w:p w:rsidR="00631F6F" w:rsidRDefault="00023BC7">
      <w:r>
        <w:rPr>
          <w:rFonts w:asciiTheme="minorHAnsi" w:eastAsiaTheme="minorEastAsia" w:hAnsiTheme="minorHAnsi" w:cstheme="minorHAnsi"/>
          <w:b/>
          <w:bCs/>
          <w:u w:val="single"/>
        </w:rPr>
        <w:t xml:space="preserve">Proposal </w:t>
      </w:r>
      <w:r w:rsidR="00752BBC">
        <w:rPr>
          <w:rFonts w:asciiTheme="minorHAnsi" w:eastAsiaTheme="minorEastAsia" w:hAnsiTheme="minorHAnsi" w:cstheme="minorHAnsi"/>
          <w:b/>
          <w:bCs/>
          <w:u w:val="single"/>
        </w:rPr>
        <w:t>3</w:t>
      </w:r>
      <w:r>
        <w:rPr>
          <w:b/>
          <w:bCs/>
          <w:color w:val="000000"/>
          <w:sz w:val="24"/>
          <w:szCs w:val="24"/>
          <w:u w:val="single"/>
        </w:rPr>
        <w:t xml:space="preserve"> </w:t>
      </w:r>
      <w:r>
        <w:rPr>
          <w:rFonts w:asciiTheme="minorHAnsi" w:eastAsiaTheme="minorEastAsia" w:hAnsiTheme="minorHAnsi" w:cstheme="minorHAnsi"/>
        </w:rPr>
        <w:t>NR supports UE reports of CBR</w:t>
      </w:r>
      <w:r>
        <w:rPr>
          <w:color w:val="000000"/>
          <w:sz w:val="24"/>
          <w:szCs w:val="24"/>
        </w:rPr>
        <w:t>.</w:t>
      </w:r>
    </w:p>
    <w:p w:rsidR="00631F6F" w:rsidRDefault="00023BC7">
      <w:pPr>
        <w:rPr>
          <w:rFonts w:asciiTheme="minorHAnsi" w:hAnsiTheme="minorHAnsi" w:cstheme="minorHAnsi"/>
        </w:rPr>
      </w:pPr>
      <w:r>
        <w:rPr>
          <w:rFonts w:cstheme="minorHAnsi"/>
          <w:b/>
          <w:bCs/>
          <w:u w:val="single"/>
        </w:rPr>
        <w:t xml:space="preserve">Proposal </w:t>
      </w:r>
      <w:r w:rsidR="00752BBC">
        <w:rPr>
          <w:rFonts w:cstheme="minorHAnsi"/>
          <w:b/>
          <w:bCs/>
          <w:u w:val="single"/>
        </w:rPr>
        <w:t>4</w:t>
      </w:r>
      <w:bookmarkStart w:id="7" w:name="_GoBack"/>
      <w:bookmarkEnd w:id="7"/>
      <w:r>
        <w:rPr>
          <w:rFonts w:cstheme="minorHAnsi"/>
          <w:b/>
          <w:bCs/>
          <w:u w:val="single"/>
        </w:rPr>
        <w:t xml:space="preserve"> </w:t>
      </w:r>
      <w:r>
        <w:rPr>
          <w:rFonts w:asciiTheme="minorHAnsi" w:hAnsiTheme="minorHAnsi" w:cstheme="minorHAnsi"/>
        </w:rPr>
        <w:t>The gNB can transmit a blocking indication to restrict the usage of sidelink configured grant resources which it pre-allocated to one or a group of sidelink users.</w:t>
      </w:r>
    </w:p>
    <w:p w:rsidR="00631F6F" w:rsidRDefault="00631F6F">
      <w:pPr>
        <w:rPr>
          <w:rFonts w:asciiTheme="minorHAnsi" w:eastAsiaTheme="minorEastAsia" w:hAnsiTheme="minorHAnsi" w:cstheme="minorHAnsi"/>
        </w:rPr>
      </w:pPr>
    </w:p>
    <w:p w:rsidR="00631F6F" w:rsidRDefault="00023BC7">
      <w:pPr>
        <w:rPr>
          <w:rFonts w:asciiTheme="minorHAnsi" w:eastAsiaTheme="minorEastAsia" w:hAnsiTheme="minorHAnsi" w:cstheme="minorHAnsi"/>
        </w:rPr>
      </w:pPr>
      <w:r>
        <w:rPr>
          <w:rFonts w:asciiTheme="minorHAnsi" w:eastAsiaTheme="minorEastAsia" w:hAnsiTheme="minorHAnsi" w:cstheme="minorHAnsi"/>
        </w:rPr>
        <w:tab/>
      </w:r>
      <w:r>
        <w:rPr>
          <w:rFonts w:asciiTheme="minorHAnsi" w:eastAsiaTheme="minorEastAsia" w:hAnsiTheme="minorHAnsi" w:cstheme="minorHAnsi"/>
        </w:rPr>
        <w:tab/>
      </w:r>
    </w:p>
    <w:p w:rsidR="00631F6F" w:rsidRDefault="00023BC7">
      <w:pPr>
        <w:pStyle w:val="Heading1"/>
        <w:numPr>
          <w:ilvl w:val="0"/>
          <w:numId w:val="0"/>
        </w:numPr>
        <w:ind w:left="431" w:hanging="431"/>
        <w:rPr>
          <w:rFonts w:asciiTheme="minorHAnsi" w:hAnsiTheme="minorHAnsi" w:cstheme="minorHAnsi"/>
        </w:rPr>
      </w:pPr>
      <w:r>
        <w:rPr>
          <w:rFonts w:asciiTheme="minorHAnsi" w:hAnsiTheme="minorHAnsi" w:cstheme="minorHAnsi"/>
        </w:rPr>
        <w:t>References</w:t>
      </w:r>
      <w:bookmarkStart w:id="8" w:name="_Ref124671424"/>
      <w:bookmarkStart w:id="9" w:name="_Ref71620620"/>
      <w:bookmarkStart w:id="10" w:name="_Ref124589665"/>
      <w:bookmarkStart w:id="11" w:name="_Ref129681832"/>
      <w:bookmarkEnd w:id="8"/>
      <w:bookmarkEnd w:id="9"/>
      <w:bookmarkEnd w:id="10"/>
      <w:bookmarkEnd w:id="11"/>
    </w:p>
    <w:p w:rsidR="00631F6F" w:rsidRDefault="00023BC7">
      <w:pPr>
        <w:pStyle w:val="References"/>
        <w:numPr>
          <w:ilvl w:val="0"/>
          <w:numId w:val="2"/>
        </w:numPr>
        <w:rPr>
          <w:rFonts w:asciiTheme="minorHAnsi" w:hAnsiTheme="minorHAnsi" w:cstheme="minorHAnsi"/>
          <w:lang w:eastAsia="zh-CN"/>
        </w:rPr>
      </w:pPr>
      <w:r>
        <w:rPr>
          <w:rFonts w:asciiTheme="minorHAnsi" w:hAnsiTheme="minorHAnsi" w:cstheme="minorHAnsi"/>
          <w:lang w:eastAsia="zh-CN"/>
        </w:rPr>
        <w:t>RP-190766 New WID on 5G V2X with NR sidelink; Shenzhen, China, March 18-21, 2019</w:t>
      </w:r>
    </w:p>
    <w:p w:rsidR="00631F6F" w:rsidRDefault="00023BC7">
      <w:pPr>
        <w:pStyle w:val="References"/>
        <w:numPr>
          <w:ilvl w:val="0"/>
          <w:numId w:val="2"/>
        </w:numPr>
        <w:rPr>
          <w:rFonts w:asciiTheme="minorHAnsi" w:hAnsiTheme="minorHAnsi" w:cstheme="minorHAnsi"/>
        </w:rPr>
      </w:pPr>
      <w:r>
        <w:rPr>
          <w:rFonts w:asciiTheme="minorHAnsi" w:hAnsiTheme="minorHAnsi" w:cstheme="minorHAnsi"/>
        </w:rPr>
        <w:t>RAN1 Chairman’s Notes, 3GPP TSG RAN WG1 Meeting #95.</w:t>
      </w:r>
    </w:p>
    <w:p w:rsidR="00631F6F" w:rsidRDefault="00023BC7">
      <w:pPr>
        <w:pStyle w:val="References"/>
        <w:numPr>
          <w:ilvl w:val="0"/>
          <w:numId w:val="2"/>
        </w:numPr>
        <w:rPr>
          <w:rFonts w:asciiTheme="minorHAnsi" w:hAnsiTheme="minorHAnsi" w:cstheme="minorHAnsi"/>
        </w:rPr>
      </w:pPr>
      <w:r>
        <w:rPr>
          <w:rFonts w:asciiTheme="minorHAnsi" w:hAnsiTheme="minorHAnsi" w:cstheme="minorHAnsi"/>
        </w:rPr>
        <w:t>RAN1 Chairman’s Notes, 3GPP TSG RAN WG1 Meeting # AH1901.</w:t>
      </w:r>
    </w:p>
    <w:p w:rsidR="00631F6F" w:rsidRDefault="00023BC7">
      <w:pPr>
        <w:pStyle w:val="References"/>
        <w:numPr>
          <w:ilvl w:val="0"/>
          <w:numId w:val="2"/>
        </w:numPr>
        <w:rPr>
          <w:rFonts w:asciiTheme="minorHAnsi" w:hAnsiTheme="minorHAnsi" w:cstheme="minorHAnsi"/>
        </w:rPr>
      </w:pPr>
      <w:r>
        <w:rPr>
          <w:rFonts w:asciiTheme="minorHAnsi" w:hAnsiTheme="minorHAnsi" w:cstheme="minorHAnsi"/>
          <w:szCs w:val="22"/>
        </w:rPr>
        <w:t>RP-1903375, “Feature lead summary for AI 7.2.4.3: Uu-based sidelink resource allocation/configuration</w:t>
      </w:r>
    </w:p>
    <w:p w:rsidR="00631F6F" w:rsidRDefault="00023BC7">
      <w:pPr>
        <w:pStyle w:val="References"/>
        <w:numPr>
          <w:ilvl w:val="0"/>
          <w:numId w:val="2"/>
        </w:numPr>
        <w:rPr>
          <w:rFonts w:asciiTheme="minorHAnsi" w:hAnsiTheme="minorHAnsi" w:cstheme="minorHAnsi"/>
        </w:rPr>
      </w:pPr>
      <w:r>
        <w:rPr>
          <w:rFonts w:asciiTheme="minorHAnsi" w:hAnsiTheme="minorHAnsi" w:cstheme="minorHAnsi"/>
        </w:rPr>
        <w:t>TR 38.885 V16.0.0 (2019-03) NR; Study on NR Vehicle-to-Everything (V2X) (Release 16)</w:t>
      </w:r>
    </w:p>
    <w:p w:rsidR="00631F6F" w:rsidRDefault="00023BC7">
      <w:pPr>
        <w:pStyle w:val="References"/>
        <w:numPr>
          <w:ilvl w:val="0"/>
          <w:numId w:val="2"/>
        </w:numPr>
        <w:rPr>
          <w:rFonts w:asciiTheme="minorHAnsi" w:hAnsiTheme="minorHAnsi" w:cstheme="minorHAnsi"/>
        </w:rPr>
      </w:pPr>
      <w:r>
        <w:rPr>
          <w:rFonts w:asciiTheme="minorHAnsi" w:hAnsiTheme="minorHAnsi" w:cstheme="minorHAnsi"/>
        </w:rPr>
        <w:t>RAN1 Chairman’s Notes, 3GPP TSG RAN WG1 Meeting # 96b.</w:t>
      </w:r>
    </w:p>
    <w:p w:rsidR="00631F6F" w:rsidRDefault="00023BC7">
      <w:pPr>
        <w:pStyle w:val="References"/>
        <w:numPr>
          <w:ilvl w:val="0"/>
          <w:numId w:val="2"/>
        </w:numPr>
        <w:rPr>
          <w:rFonts w:asciiTheme="minorHAnsi" w:hAnsiTheme="minorHAnsi" w:cstheme="minorHAnsi"/>
        </w:rPr>
      </w:pPr>
      <w:r>
        <w:rPr>
          <w:rFonts w:asciiTheme="minorHAnsi" w:hAnsiTheme="minorHAnsi" w:cstheme="minorHAnsi"/>
        </w:rPr>
        <w:t>RAN1 Chairman's Notes RAN1#97 v023.doc</w:t>
      </w:r>
    </w:p>
    <w:p w:rsidR="00631F6F" w:rsidRDefault="00023BC7">
      <w:pPr>
        <w:pStyle w:val="References"/>
        <w:numPr>
          <w:ilvl w:val="0"/>
          <w:numId w:val="2"/>
        </w:numPr>
        <w:rPr>
          <w:rFonts w:asciiTheme="minorHAnsi" w:hAnsiTheme="minorHAnsi" w:cstheme="minorHAnsi"/>
        </w:rPr>
      </w:pPr>
      <w:r>
        <w:rPr>
          <w:rFonts w:asciiTheme="minorHAnsi" w:hAnsiTheme="minorHAnsi" w:cstheme="minorHAnsi"/>
        </w:rPr>
        <w:t>R1-1907854 Feature lead summary #3 on Resource allocation for NR sidelink Mode 1</w:t>
      </w:r>
    </w:p>
    <w:p w:rsidR="00631F6F" w:rsidRDefault="00023BC7">
      <w:pPr>
        <w:pStyle w:val="References"/>
        <w:numPr>
          <w:ilvl w:val="0"/>
          <w:numId w:val="2"/>
        </w:numPr>
        <w:rPr>
          <w:rFonts w:asciiTheme="minorHAnsi" w:hAnsiTheme="minorHAnsi" w:cstheme="minorHAnsi"/>
        </w:rPr>
      </w:pPr>
      <w:r>
        <w:rPr>
          <w:rFonts w:asciiTheme="minorHAnsi" w:hAnsiTheme="minorHAnsi" w:cstheme="minorHAnsi"/>
        </w:rPr>
        <w:t>Draft RP-191722 SR_5GV2X_v4</w:t>
      </w:r>
    </w:p>
    <w:p w:rsidR="00631F6F" w:rsidRDefault="00023BC7">
      <w:pPr>
        <w:pStyle w:val="References"/>
        <w:numPr>
          <w:ilvl w:val="0"/>
          <w:numId w:val="2"/>
        </w:numPr>
        <w:rPr>
          <w:rFonts w:asciiTheme="minorHAnsi" w:hAnsiTheme="minorHAnsi" w:cstheme="minorHAnsi"/>
        </w:rPr>
      </w:pPr>
      <w:r>
        <w:rPr>
          <w:rFonts w:asciiTheme="minorHAnsi" w:hAnsiTheme="minorHAnsi" w:cstheme="minorHAnsi"/>
        </w:rPr>
        <w:t>Draft Report of 3GPP TSG RAN WG1 #98 v0.2.0</w:t>
      </w:r>
    </w:p>
    <w:p w:rsidR="00631F6F" w:rsidRDefault="00023BC7">
      <w:pPr>
        <w:pStyle w:val="References"/>
        <w:numPr>
          <w:ilvl w:val="0"/>
          <w:numId w:val="2"/>
        </w:numPr>
      </w:pPr>
      <w:r>
        <w:rPr>
          <w:rFonts w:asciiTheme="minorHAnsi" w:hAnsiTheme="minorHAnsi" w:cstheme="minorHAnsi"/>
        </w:rPr>
        <w:t>R1-1909487 Feature lead summary#1 on Resource allocation for NR sidelink Mode 1</w:t>
      </w:r>
    </w:p>
    <w:p w:rsidR="00631F6F" w:rsidRDefault="00023BC7">
      <w:pPr>
        <w:pStyle w:val="References"/>
        <w:numPr>
          <w:ilvl w:val="0"/>
          <w:numId w:val="2"/>
        </w:numPr>
      </w:pPr>
      <w:r>
        <w:rPr>
          <w:rFonts w:asciiTheme="minorHAnsi" w:hAnsiTheme="minorHAnsi" w:cstheme="minorHAnsi"/>
        </w:rPr>
        <w:t>R1-1909487 Feature lead summary#1 on Resource allocation for NR sidelink Mode 1</w:t>
      </w:r>
    </w:p>
    <w:p w:rsidR="00631F6F" w:rsidRDefault="00023BC7">
      <w:pPr>
        <w:pStyle w:val="References"/>
        <w:numPr>
          <w:ilvl w:val="0"/>
          <w:numId w:val="2"/>
        </w:numPr>
        <w:rPr>
          <w:rFonts w:asciiTheme="minorHAnsi" w:hAnsiTheme="minorHAnsi" w:cstheme="minorHAnsi"/>
        </w:rPr>
      </w:pPr>
      <w:r>
        <w:rPr>
          <w:rFonts w:asciiTheme="minorHAnsi" w:hAnsiTheme="minorHAnsi" w:cstheme="minorHAnsi"/>
        </w:rPr>
        <w:t>R1-1913601 Summary of RAN1 Agreements/Working assumptions in WI 5G V2X with NR sidelink</w:t>
      </w:r>
    </w:p>
    <w:p w:rsidR="00631F6F" w:rsidRDefault="00023BC7">
      <w:pPr>
        <w:pStyle w:val="References"/>
        <w:numPr>
          <w:ilvl w:val="0"/>
          <w:numId w:val="2"/>
        </w:numPr>
        <w:rPr>
          <w:rFonts w:asciiTheme="minorHAnsi" w:hAnsiTheme="minorHAnsi" w:cstheme="minorHAnsi"/>
        </w:rPr>
      </w:pPr>
      <w:r>
        <w:rPr>
          <w:rFonts w:asciiTheme="minorHAnsi" w:hAnsiTheme="minorHAnsi" w:cstheme="minorHAnsi"/>
        </w:rPr>
        <w:t>TS 38.212 v16.0.0 (2019-12)</w:t>
      </w:r>
    </w:p>
    <w:p w:rsidR="00631F6F" w:rsidRDefault="00631F6F">
      <w:pPr>
        <w:pStyle w:val="References"/>
        <w:ind w:left="360"/>
        <w:rPr>
          <w:rFonts w:asciiTheme="minorHAnsi" w:hAnsiTheme="minorHAnsi" w:cstheme="minorHAnsi"/>
        </w:rPr>
      </w:pPr>
    </w:p>
    <w:p w:rsidR="00631F6F" w:rsidRDefault="00631F6F">
      <w:pPr>
        <w:pStyle w:val="References"/>
        <w:ind w:left="360"/>
      </w:pPr>
    </w:p>
    <w:sectPr w:rsidR="00631F6F">
      <w:pgSz w:w="11906" w:h="16838"/>
      <w:pgMar w:top="1440" w:right="1152" w:bottom="1440" w:left="1440" w:header="0" w:footer="0"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5C4" w:rsidRDefault="006945C4" w:rsidP="00493FF5">
      <w:pPr>
        <w:spacing w:after="0"/>
      </w:pPr>
      <w:r>
        <w:separator/>
      </w:r>
    </w:p>
  </w:endnote>
  <w:endnote w:type="continuationSeparator" w:id="0">
    <w:p w:rsidR="006945C4" w:rsidRDefault="006945C4" w:rsidP="00493FF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MBX12">
    <w:altName w:val="Cambria"/>
    <w:charset w:val="01"/>
    <w:family w:val="roman"/>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5C4" w:rsidRDefault="006945C4" w:rsidP="00493FF5">
      <w:pPr>
        <w:spacing w:after="0"/>
      </w:pPr>
      <w:r>
        <w:separator/>
      </w:r>
    </w:p>
  </w:footnote>
  <w:footnote w:type="continuationSeparator" w:id="0">
    <w:p w:rsidR="006945C4" w:rsidRDefault="006945C4" w:rsidP="00493FF5">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6754FE"/>
    <w:multiLevelType w:val="multilevel"/>
    <w:tmpl w:val="A9629630"/>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sz w:val="20"/>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1" w15:restartNumberingAfterBreak="0">
    <w:nsid w:val="16A157F1"/>
    <w:multiLevelType w:val="multilevel"/>
    <w:tmpl w:val="EFC63FC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sz w:val="20"/>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35787B63"/>
    <w:multiLevelType w:val="multilevel"/>
    <w:tmpl w:val="CDE451F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3FC24205"/>
    <w:multiLevelType w:val="multilevel"/>
    <w:tmpl w:val="0DCEF45E"/>
    <w:lvl w:ilvl="0">
      <w:start w:val="1"/>
      <w:numFmt w:val="bullet"/>
      <w:lvlText w:val=""/>
      <w:lvlJc w:val="left"/>
      <w:pPr>
        <w:ind w:left="1210" w:hanging="360"/>
      </w:pPr>
      <w:rPr>
        <w:rFonts w:ascii="Symbol" w:hAnsi="Symbol" w:cs="Symbol" w:hint="default"/>
      </w:rPr>
    </w:lvl>
    <w:lvl w:ilvl="1">
      <w:start w:val="1"/>
      <w:numFmt w:val="bullet"/>
      <w:lvlText w:val="o"/>
      <w:lvlJc w:val="left"/>
      <w:pPr>
        <w:ind w:left="1930" w:hanging="360"/>
      </w:pPr>
      <w:rPr>
        <w:rFonts w:ascii="Courier New" w:hAnsi="Courier New" w:cs="Courier New" w:hint="default"/>
      </w:rPr>
    </w:lvl>
    <w:lvl w:ilvl="2">
      <w:start w:val="1"/>
      <w:numFmt w:val="bullet"/>
      <w:lvlText w:val=""/>
      <w:lvlJc w:val="left"/>
      <w:pPr>
        <w:ind w:left="2650" w:hanging="360"/>
      </w:pPr>
      <w:rPr>
        <w:rFonts w:ascii="Wingdings" w:hAnsi="Wingdings" w:cs="Wingdings" w:hint="default"/>
      </w:rPr>
    </w:lvl>
    <w:lvl w:ilvl="3">
      <w:start w:val="1"/>
      <w:numFmt w:val="bullet"/>
      <w:lvlText w:val=""/>
      <w:lvlJc w:val="left"/>
      <w:pPr>
        <w:ind w:left="3370" w:hanging="360"/>
      </w:pPr>
      <w:rPr>
        <w:rFonts w:ascii="Symbol" w:hAnsi="Symbol" w:cs="Symbol" w:hint="default"/>
      </w:rPr>
    </w:lvl>
    <w:lvl w:ilvl="4">
      <w:start w:val="1"/>
      <w:numFmt w:val="bullet"/>
      <w:lvlText w:val="o"/>
      <w:lvlJc w:val="left"/>
      <w:pPr>
        <w:ind w:left="4090" w:hanging="360"/>
      </w:pPr>
      <w:rPr>
        <w:rFonts w:ascii="Courier New" w:hAnsi="Courier New" w:cs="Courier New" w:hint="default"/>
      </w:rPr>
    </w:lvl>
    <w:lvl w:ilvl="5">
      <w:start w:val="1"/>
      <w:numFmt w:val="bullet"/>
      <w:lvlText w:val=""/>
      <w:lvlJc w:val="left"/>
      <w:pPr>
        <w:ind w:left="4810" w:hanging="360"/>
      </w:pPr>
      <w:rPr>
        <w:rFonts w:ascii="Wingdings" w:hAnsi="Wingdings" w:cs="Wingdings" w:hint="default"/>
      </w:rPr>
    </w:lvl>
    <w:lvl w:ilvl="6">
      <w:start w:val="1"/>
      <w:numFmt w:val="bullet"/>
      <w:lvlText w:val=""/>
      <w:lvlJc w:val="left"/>
      <w:pPr>
        <w:ind w:left="5530" w:hanging="360"/>
      </w:pPr>
      <w:rPr>
        <w:rFonts w:ascii="Symbol" w:hAnsi="Symbol" w:cs="Symbol" w:hint="default"/>
      </w:rPr>
    </w:lvl>
    <w:lvl w:ilvl="7">
      <w:start w:val="1"/>
      <w:numFmt w:val="bullet"/>
      <w:lvlText w:val="o"/>
      <w:lvlJc w:val="left"/>
      <w:pPr>
        <w:ind w:left="6250" w:hanging="360"/>
      </w:pPr>
      <w:rPr>
        <w:rFonts w:ascii="Courier New" w:hAnsi="Courier New" w:cs="Courier New" w:hint="default"/>
      </w:rPr>
    </w:lvl>
    <w:lvl w:ilvl="8">
      <w:start w:val="1"/>
      <w:numFmt w:val="bullet"/>
      <w:lvlText w:val=""/>
      <w:lvlJc w:val="left"/>
      <w:pPr>
        <w:ind w:left="6970" w:hanging="360"/>
      </w:pPr>
      <w:rPr>
        <w:rFonts w:ascii="Wingdings" w:hAnsi="Wingdings" w:cs="Wingdings" w:hint="default"/>
      </w:rPr>
    </w:lvl>
  </w:abstractNum>
  <w:abstractNum w:abstractNumId="4" w15:restartNumberingAfterBreak="0">
    <w:nsid w:val="42933C4B"/>
    <w:multiLevelType w:val="multilevel"/>
    <w:tmpl w:val="7F3A6D9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443016F0"/>
    <w:multiLevelType w:val="multilevel"/>
    <w:tmpl w:val="41CE03D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45587808"/>
    <w:multiLevelType w:val="multilevel"/>
    <w:tmpl w:val="5D9E13E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15:restartNumberingAfterBreak="0">
    <w:nsid w:val="46197578"/>
    <w:multiLevelType w:val="multilevel"/>
    <w:tmpl w:val="911079C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47F24384"/>
    <w:multiLevelType w:val="multilevel"/>
    <w:tmpl w:val="E890A2A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C644452"/>
    <w:multiLevelType w:val="multilevel"/>
    <w:tmpl w:val="6654449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15:restartNumberingAfterBreak="0">
    <w:nsid w:val="62CA187B"/>
    <w:multiLevelType w:val="multilevel"/>
    <w:tmpl w:val="B0C04AD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15:restartNumberingAfterBreak="0">
    <w:nsid w:val="666906B6"/>
    <w:multiLevelType w:val="hybridMultilevel"/>
    <w:tmpl w:val="6A1880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7834CE8"/>
    <w:multiLevelType w:val="multilevel"/>
    <w:tmpl w:val="3656CC7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6FAA0F49"/>
    <w:multiLevelType w:val="multilevel"/>
    <w:tmpl w:val="3F9E19A4"/>
    <w:lvl w:ilvl="0">
      <w:start w:val="1"/>
      <w:numFmt w:val="decimal"/>
      <w:pStyle w:val="Heading1"/>
      <w:lvlText w:val="%1"/>
      <w:lvlJc w:val="left"/>
      <w:pPr>
        <w:tabs>
          <w:tab w:val="num" w:pos="432"/>
        </w:tabs>
        <w:ind w:left="432" w:hanging="432"/>
      </w:pPr>
      <w:rPr>
        <w:i w:val="0"/>
        <w:lang w:val="en-US"/>
      </w:rPr>
    </w:lvl>
    <w:lvl w:ilvl="1">
      <w:start w:val="1"/>
      <w:numFmt w:val="decimal"/>
      <w:pStyle w:val="Heading2"/>
      <w:lvlText w:val="%1.%2"/>
      <w:lvlJc w:val="left"/>
      <w:pPr>
        <w:tabs>
          <w:tab w:val="num" w:pos="576"/>
        </w:tabs>
        <w:ind w:left="576" w:hanging="576"/>
      </w:pPr>
      <w:rPr>
        <w:b/>
        <w:i w:val="0"/>
        <w:sz w:val="24"/>
        <w:effect w:val="none"/>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5" w15:restartNumberingAfterBreak="0">
    <w:nsid w:val="78DD151F"/>
    <w:multiLevelType w:val="multilevel"/>
    <w:tmpl w:val="DC7047A6"/>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7CC72622"/>
    <w:multiLevelType w:val="multilevel"/>
    <w:tmpl w:val="5D5E66D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7D90644A"/>
    <w:multiLevelType w:val="multilevel"/>
    <w:tmpl w:val="697AED30"/>
    <w:lvl w:ilvl="0">
      <w:start w:val="1"/>
      <w:numFmt w:val="decimal"/>
      <w:lvlText w:val="%1"/>
      <w:lvlJc w:val="left"/>
      <w:pPr>
        <w:tabs>
          <w:tab w:val="num" w:pos="432"/>
        </w:tabs>
        <w:ind w:left="432" w:hanging="432"/>
      </w:pPr>
      <w:rPr>
        <w:i w:val="0"/>
        <w:lang w:val="en-US"/>
      </w:rPr>
    </w:lvl>
    <w:lvl w:ilvl="1">
      <w:start w:val="1"/>
      <w:numFmt w:val="decimal"/>
      <w:lvlText w:val="%1.%2"/>
      <w:lvlJc w:val="left"/>
      <w:pPr>
        <w:tabs>
          <w:tab w:val="num" w:pos="576"/>
        </w:tabs>
        <w:ind w:left="576" w:hanging="576"/>
      </w:pPr>
      <w:rPr>
        <w:b w:val="0"/>
        <w:i w:val="0"/>
        <w:sz w:val="22"/>
        <w:effect w:val="none"/>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14"/>
  </w:num>
  <w:num w:numId="2">
    <w:abstractNumId w:val="15"/>
  </w:num>
  <w:num w:numId="3">
    <w:abstractNumId w:val="17"/>
  </w:num>
  <w:num w:numId="4">
    <w:abstractNumId w:val="16"/>
  </w:num>
  <w:num w:numId="5">
    <w:abstractNumId w:val="10"/>
  </w:num>
  <w:num w:numId="6">
    <w:abstractNumId w:val="6"/>
  </w:num>
  <w:num w:numId="7">
    <w:abstractNumId w:val="3"/>
  </w:num>
  <w:num w:numId="8">
    <w:abstractNumId w:val="2"/>
  </w:num>
  <w:num w:numId="9">
    <w:abstractNumId w:val="1"/>
  </w:num>
  <w:num w:numId="10">
    <w:abstractNumId w:val="7"/>
  </w:num>
  <w:num w:numId="11">
    <w:abstractNumId w:val="4"/>
  </w:num>
  <w:num w:numId="12">
    <w:abstractNumId w:val="11"/>
  </w:num>
  <w:num w:numId="13">
    <w:abstractNumId w:val="5"/>
  </w:num>
  <w:num w:numId="14">
    <w:abstractNumId w:val="13"/>
  </w:num>
  <w:num w:numId="15">
    <w:abstractNumId w:val="8"/>
  </w:num>
  <w:num w:numId="16">
    <w:abstractNumId w:val="0"/>
  </w:num>
  <w:num w:numId="17">
    <w:abstractNumId w:val="12"/>
  </w:num>
  <w:num w:numId="18">
    <w:abstractNumId w:val="9"/>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embedSystemFonts/>
  <w:defaultTabStop w:val="425"/>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1F6F"/>
    <w:rsid w:val="00023BC7"/>
    <w:rsid w:val="000C2DA7"/>
    <w:rsid w:val="000C4593"/>
    <w:rsid w:val="00137F2F"/>
    <w:rsid w:val="00255549"/>
    <w:rsid w:val="003474A3"/>
    <w:rsid w:val="0035370B"/>
    <w:rsid w:val="00427BF6"/>
    <w:rsid w:val="00450961"/>
    <w:rsid w:val="00493FF5"/>
    <w:rsid w:val="004F0F02"/>
    <w:rsid w:val="00631F6F"/>
    <w:rsid w:val="00670177"/>
    <w:rsid w:val="006945C4"/>
    <w:rsid w:val="00752BBC"/>
    <w:rsid w:val="00872BDB"/>
    <w:rsid w:val="008A7B5C"/>
    <w:rsid w:val="00941E08"/>
    <w:rsid w:val="009636BC"/>
    <w:rsid w:val="00A13024"/>
    <w:rsid w:val="00B13DFB"/>
    <w:rsid w:val="00BB6222"/>
    <w:rsid w:val="00DB1C1F"/>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EB5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0F78"/>
    <w:pPr>
      <w:snapToGrid w:val="0"/>
      <w:spacing w:after="120"/>
      <w:jc w:val="both"/>
    </w:pPr>
    <w:rPr>
      <w:sz w:val="22"/>
      <w:szCs w:val="22"/>
    </w:rPr>
  </w:style>
  <w:style w:type="paragraph" w:styleId="Heading1">
    <w:name w:val="heading 1"/>
    <w:basedOn w:val="Normal"/>
    <w:next w:val="Normal"/>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spacing w:before="120"/>
      <w:outlineLvl w:val="1"/>
    </w:pPr>
    <w:rPr>
      <w:b/>
      <w:bCs/>
      <w:kern w:val="2"/>
      <w:sz w:val="24"/>
      <w:lang w:val="en-GB"/>
    </w:rPr>
  </w:style>
  <w:style w:type="paragraph" w:styleId="Heading3">
    <w:name w:val="heading 3"/>
    <w:basedOn w:val="Normal"/>
    <w:next w:val="Normal"/>
    <w:qFormat/>
    <w:pPr>
      <w:keepNext/>
      <w:numPr>
        <w:ilvl w:val="2"/>
        <w:numId w:val="1"/>
      </w:numPr>
      <w:spacing w:before="120"/>
      <w:outlineLvl w:val="2"/>
    </w:pPr>
    <w:rPr>
      <w:b/>
    </w:rPr>
  </w:style>
  <w:style w:type="paragraph" w:styleId="Heading4">
    <w:name w:val="heading 4"/>
    <w:basedOn w:val="Normal"/>
    <w:next w:val="Normal"/>
    <w:qFormat/>
    <w:pPr>
      <w:keepNext/>
      <w:numPr>
        <w:ilvl w:val="3"/>
        <w:numId w:val="1"/>
      </w:numPr>
      <w:spacing w:before="120"/>
      <w:ind w:left="720" w:hanging="720"/>
      <w:outlineLvl w:val="3"/>
    </w:pPr>
    <w:rPr>
      <w:b/>
      <w:bCs/>
      <w:szCs w:val="28"/>
    </w:rPr>
  </w:style>
  <w:style w:type="paragraph" w:styleId="Heading5">
    <w:name w:val="heading 5"/>
    <w:basedOn w:val="Normal"/>
    <w:next w:val="Normal"/>
    <w:qFormat/>
    <w:pPr>
      <w:keepNext/>
      <w:numPr>
        <w:ilvl w:val="4"/>
        <w:numId w:val="1"/>
      </w:numPr>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qFormat/>
    <w:rsid w:val="00CF195E"/>
  </w:style>
  <w:style w:type="character" w:customStyle="1" w:styleId="InternetLink">
    <w:name w:val="Internet Link"/>
    <w:rPr>
      <w:color w:val="0000FF"/>
      <w:kern w:val="2"/>
      <w:u w:val="single"/>
      <w:lang w:val="en-GB" w:eastAsia="zh-CN" w:bidi="ar-SA"/>
    </w:rPr>
  </w:style>
  <w:style w:type="character" w:customStyle="1" w:styleId="CaptionChar">
    <w:name w:val="Caption Char"/>
    <w:link w:val="Caption"/>
    <w:qFormat/>
    <w:rsid w:val="00C411AF"/>
    <w:rPr>
      <w:b/>
      <w:bCs/>
      <w:kern w:val="2"/>
      <w:lang w:val="en-GB" w:eastAsia="zh-CN" w:bidi="ar-SA"/>
    </w:rPr>
  </w:style>
  <w:style w:type="character" w:styleId="FollowedHyperlink">
    <w:name w:val="FollowedHyperlink"/>
    <w:qFormat/>
    <w:rPr>
      <w:color w:val="800080"/>
      <w:kern w:val="2"/>
      <w:u w:val="single"/>
      <w:lang w:val="en-GB" w:eastAsia="zh-CN" w:bidi="ar-SA"/>
    </w:rPr>
  </w:style>
  <w:style w:type="character" w:customStyle="1" w:styleId="FootnoteCharacters">
    <w:name w:val="Footnote Characters"/>
    <w:semiHidden/>
    <w:qFormat/>
    <w:rPr>
      <w:kern w:val="2"/>
      <w:vertAlign w:val="superscript"/>
      <w:lang w:val="en-GB" w:eastAsia="zh-CN" w:bidi="ar-SA"/>
    </w:rPr>
  </w:style>
  <w:style w:type="character" w:customStyle="1" w:styleId="FootnoteAnchor">
    <w:name w:val="Footnote Anchor"/>
    <w:rPr>
      <w:kern w:val="2"/>
      <w:vertAlign w:val="superscript"/>
      <w:lang w:val="en-GB" w:eastAsia="zh-CN" w:bidi="ar-SA"/>
    </w:rPr>
  </w:style>
  <w:style w:type="character" w:customStyle="1" w:styleId="HeaderChar">
    <w:name w:val="Header Char"/>
    <w:link w:val="Header"/>
    <w:qFormat/>
    <w:rsid w:val="00AB3F38"/>
    <w:rPr>
      <w:kern w:val="2"/>
      <w:sz w:val="22"/>
      <w:szCs w:val="22"/>
      <w:lang w:val="en-GB" w:eastAsia="zh-CN" w:bidi="ar-SA"/>
    </w:rPr>
  </w:style>
  <w:style w:type="character" w:customStyle="1" w:styleId="FooterChar">
    <w:name w:val="Footer Char"/>
    <w:link w:val="Footer"/>
    <w:qFormat/>
    <w:rsid w:val="00AB3F38"/>
    <w:rPr>
      <w:kern w:val="2"/>
      <w:sz w:val="22"/>
      <w:szCs w:val="22"/>
      <w:lang w:val="en-GB" w:eastAsia="zh-CN" w:bidi="ar-SA"/>
    </w:rPr>
  </w:style>
  <w:style w:type="character" w:customStyle="1" w:styleId="DocumentMapChar">
    <w:name w:val="Document Map Char"/>
    <w:link w:val="DocumentMap"/>
    <w:qFormat/>
    <w:rsid w:val="00E539F9"/>
    <w:rPr>
      <w:rFonts w:ascii="SimSun" w:hAnsi="SimSun"/>
      <w:kern w:val="2"/>
      <w:sz w:val="18"/>
      <w:szCs w:val="18"/>
      <w:lang w:val="en-GB" w:eastAsia="en-US" w:bidi="ar-SA"/>
    </w:rPr>
  </w:style>
  <w:style w:type="character" w:styleId="CommentReference">
    <w:name w:val="annotation reference"/>
    <w:qFormat/>
    <w:rsid w:val="00971D66"/>
    <w:rPr>
      <w:kern w:val="2"/>
      <w:sz w:val="16"/>
      <w:szCs w:val="16"/>
      <w:lang w:val="en-GB" w:eastAsia="zh-CN" w:bidi="ar-SA"/>
    </w:rPr>
  </w:style>
  <w:style w:type="character" w:customStyle="1" w:styleId="CommentTextChar">
    <w:name w:val="Comment Text Char"/>
    <w:link w:val="CommentText"/>
    <w:qFormat/>
    <w:rsid w:val="00971D66"/>
    <w:rPr>
      <w:kern w:val="2"/>
      <w:lang w:val="en-GB" w:eastAsia="en-US" w:bidi="ar-SA"/>
    </w:rPr>
  </w:style>
  <w:style w:type="character" w:customStyle="1" w:styleId="CommentSubjectChar">
    <w:name w:val="Comment Subject Char"/>
    <w:link w:val="CommentSubject"/>
    <w:qFormat/>
    <w:rsid w:val="00971D66"/>
    <w:rPr>
      <w:b/>
      <w:bCs/>
      <w:kern w:val="2"/>
      <w:lang w:val="en-GB" w:eastAsia="en-US" w:bidi="ar-SA"/>
    </w:rPr>
  </w:style>
  <w:style w:type="character" w:customStyle="1" w:styleId="im-content1">
    <w:name w:val="im-content1"/>
    <w:qFormat/>
    <w:rsid w:val="00D50518"/>
    <w:rPr>
      <w:vanish w:val="0"/>
      <w:color w:val="333333"/>
      <w:kern w:val="2"/>
      <w:lang w:val="en-GB" w:eastAsia="zh-CN" w:bidi="ar-SA"/>
    </w:rPr>
  </w:style>
  <w:style w:type="character" w:customStyle="1" w:styleId="im-content2">
    <w:name w:val="im-content2"/>
    <w:qFormat/>
    <w:rsid w:val="00E34340"/>
    <w:rPr>
      <w:vanish w:val="0"/>
      <w:color w:val="333333"/>
      <w:kern w:val="2"/>
      <w:lang w:val="en-GB" w:eastAsia="zh-CN" w:bidi="ar-SA"/>
    </w:rPr>
  </w:style>
  <w:style w:type="character" w:customStyle="1" w:styleId="im-content3">
    <w:name w:val="im-content3"/>
    <w:qFormat/>
    <w:rsid w:val="00E34340"/>
    <w:rPr>
      <w:vanish w:val="0"/>
      <w:color w:val="333333"/>
      <w:kern w:val="2"/>
      <w:lang w:val="en-GB" w:eastAsia="zh-CN" w:bidi="ar-SA"/>
    </w:rPr>
  </w:style>
  <w:style w:type="character" w:customStyle="1" w:styleId="apple-converted-space">
    <w:name w:val="apple-converted-space"/>
    <w:qFormat/>
    <w:rsid w:val="008D60D0"/>
  </w:style>
  <w:style w:type="character" w:customStyle="1" w:styleId="Heading2Char">
    <w:name w:val="Heading 2 Char"/>
    <w:link w:val="Heading2"/>
    <w:qFormat/>
    <w:rsid w:val="00FF5F79"/>
    <w:rPr>
      <w:b/>
      <w:bCs/>
      <w:kern w:val="2"/>
      <w:sz w:val="24"/>
      <w:szCs w:val="22"/>
      <w:lang w:val="en-GB"/>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F72DED"/>
    <w:rPr>
      <w:sz w:val="22"/>
      <w:szCs w:val="22"/>
    </w:rPr>
  </w:style>
  <w:style w:type="character" w:customStyle="1" w:styleId="CaptionChar1">
    <w:name w:val="Caption Char1"/>
    <w:qFormat/>
    <w:rsid w:val="00724145"/>
    <w:rPr>
      <w:b/>
      <w:bCs/>
      <w:lang w:val="en-GB" w:eastAsia="zh-CN"/>
    </w:rPr>
  </w:style>
  <w:style w:type="character" w:customStyle="1" w:styleId="LGTdocChar">
    <w:name w:val="LGTdoc_본문 Char"/>
    <w:link w:val="LGTdoc"/>
    <w:qFormat/>
    <w:rsid w:val="003F5C24"/>
    <w:rPr>
      <w:rFonts w:eastAsia="Batang"/>
      <w:kern w:val="2"/>
      <w:sz w:val="22"/>
      <w:szCs w:val="24"/>
      <w:lang w:val="en-GB" w:eastAsia="x-none"/>
    </w:rPr>
  </w:style>
  <w:style w:type="character" w:customStyle="1" w:styleId="B1Zchn">
    <w:name w:val="B1 Zchn"/>
    <w:link w:val="B1"/>
    <w:qFormat/>
    <w:rsid w:val="00AD2689"/>
    <w:rPr>
      <w:rFonts w:eastAsia="Malgun Gothic"/>
      <w:lang w:val="en-GB"/>
    </w:rPr>
  </w:style>
  <w:style w:type="character" w:customStyle="1" w:styleId="ListLabel1">
    <w:name w:val="ListLabel 1"/>
    <w:qFormat/>
    <w:rPr>
      <w:i w:val="0"/>
      <w:lang w:val="en-US"/>
    </w:rPr>
  </w:style>
  <w:style w:type="character" w:customStyle="1" w:styleId="ListLabel2">
    <w:name w:val="ListLabel 2"/>
    <w:qFormat/>
    <w:rPr>
      <w:b w:val="0"/>
      <w:i w:val="0"/>
      <w:sz w:val="22"/>
      <w:effect w:val="none"/>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sz w:val="20"/>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b/>
      <w:sz w:val="20"/>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i w:val="0"/>
      <w:lang w:val="en-US"/>
    </w:rPr>
  </w:style>
  <w:style w:type="character" w:customStyle="1" w:styleId="ListLabel19">
    <w:name w:val="ListLabel 19"/>
    <w:qFormat/>
    <w:rPr>
      <w:b/>
      <w:i w:val="0"/>
      <w:sz w:val="24"/>
      <w:effect w:val="none"/>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i w:val="0"/>
      <w:lang w:val="en-US"/>
    </w:rPr>
  </w:style>
  <w:style w:type="character" w:customStyle="1" w:styleId="ListLabel24">
    <w:name w:val="ListLabel 24"/>
    <w:qFormat/>
    <w:rPr>
      <w:b/>
      <w:i w:val="0"/>
      <w:sz w:val="24"/>
      <w:effect w:val="none"/>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i w:val="0"/>
      <w:lang w:val="en-US"/>
    </w:rPr>
  </w:style>
  <w:style w:type="character" w:customStyle="1" w:styleId="ListLabel29">
    <w:name w:val="ListLabel 29"/>
    <w:qFormat/>
    <w:rPr>
      <w:b/>
      <w:i w:val="0"/>
      <w:sz w:val="24"/>
      <w:effect w:val="none"/>
    </w:rPr>
  </w:style>
  <w:style w:type="character" w:customStyle="1" w:styleId="ListLabel30">
    <w:name w:val="ListLabel 30"/>
    <w:qFormat/>
    <w:rPr>
      <w:rFonts w:cs="Courier New"/>
      <w:b/>
      <w:sz w:val="20"/>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i w:val="0"/>
      <w:lang w:val="en-US"/>
    </w:rPr>
  </w:style>
  <w:style w:type="character" w:customStyle="1" w:styleId="ListLabel40">
    <w:name w:val="ListLabel 40"/>
    <w:qFormat/>
    <w:rPr>
      <w:b/>
      <w:i w:val="0"/>
      <w:sz w:val="24"/>
      <w:effect w:val="none"/>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i w:val="0"/>
      <w:lang w:val="en-US"/>
    </w:rPr>
  </w:style>
  <w:style w:type="character" w:customStyle="1" w:styleId="ListLabel45">
    <w:name w:val="ListLabel 45"/>
    <w:qFormat/>
    <w:rPr>
      <w:b/>
      <w:i w:val="0"/>
      <w:sz w:val="24"/>
      <w:effect w:val="none"/>
    </w:rPr>
  </w:style>
  <w:style w:type="character" w:customStyle="1" w:styleId="ListLabel46">
    <w:name w:val="ListLabel 46"/>
    <w:qFormat/>
    <w:rPr>
      <w:i w:val="0"/>
      <w:lang w:val="en-US"/>
    </w:rPr>
  </w:style>
  <w:style w:type="character" w:customStyle="1" w:styleId="ListLabel47">
    <w:name w:val="ListLabel 47"/>
    <w:qFormat/>
    <w:rPr>
      <w:b/>
      <w:i w:val="0"/>
      <w:sz w:val="24"/>
      <w:effect w:val="none"/>
    </w:rPr>
  </w:style>
  <w:style w:type="character" w:customStyle="1" w:styleId="ListLabel48">
    <w:name w:val="ListLabel 48"/>
    <w:qFormat/>
    <w:rPr>
      <w:b/>
    </w:rPr>
  </w:style>
  <w:style w:type="character" w:customStyle="1" w:styleId="ListLabel49">
    <w:name w:val="ListLabel 49"/>
    <w:qFormat/>
    <w:rPr>
      <w:b/>
    </w:rPr>
  </w:style>
  <w:style w:type="character" w:customStyle="1" w:styleId="ListLabel50">
    <w:name w:val="ListLabel 50"/>
    <w:qFormat/>
    <w:rPr>
      <w:rFonts w:cs="Courier New"/>
      <w:b/>
      <w:sz w:val="20"/>
    </w:rPr>
  </w:style>
  <w:style w:type="character" w:customStyle="1" w:styleId="ListLabel51">
    <w:name w:val="ListLabel 51"/>
    <w:qFormat/>
    <w:rPr>
      <w:rFonts w:cs="Courier New"/>
      <w:sz w:val="20"/>
    </w:rPr>
  </w:style>
  <w:style w:type="character" w:customStyle="1" w:styleId="ListLabel52">
    <w:name w:val="ListLabel 52"/>
    <w:qFormat/>
    <w:rPr>
      <w:rFonts w:cs="Courier New"/>
    </w:rPr>
  </w:style>
  <w:style w:type="character" w:customStyle="1" w:styleId="ListLabel53">
    <w:name w:val="ListLabel 53"/>
    <w:qFormat/>
    <w:rPr>
      <w:rFonts w:cs="Courier New"/>
      <w:b/>
      <w:sz w:val="20"/>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rFonts w:cs="Courier New"/>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rFonts w:cs="Courier New"/>
    </w:rPr>
  </w:style>
  <w:style w:type="character" w:customStyle="1" w:styleId="ListLabel61">
    <w:name w:val="ListLabel 61"/>
    <w:qFormat/>
    <w:rPr>
      <w:rFonts w:cs="Courier New"/>
    </w:rPr>
  </w:style>
  <w:style w:type="character" w:customStyle="1" w:styleId="ListLabel62">
    <w:name w:val="ListLabel 62"/>
    <w:qFormat/>
    <w:rPr>
      <w:rFonts w:cs="Courier New"/>
      <w:b/>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b/>
      <w:sz w:val="20"/>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cs="Courier New"/>
    </w:rPr>
  </w:style>
  <w:style w:type="character" w:customStyle="1" w:styleId="ListLabel70">
    <w:name w:val="ListLabel 70"/>
    <w:qFormat/>
    <w:rPr>
      <w:rFonts w:cs="Courier New"/>
    </w:rPr>
  </w:style>
  <w:style w:type="character" w:customStyle="1" w:styleId="ListLabel71">
    <w:name w:val="ListLabel 71"/>
    <w:qFormat/>
    <w:rPr>
      <w:i w:val="0"/>
      <w:lang w:val="en-US"/>
    </w:rPr>
  </w:style>
  <w:style w:type="character" w:customStyle="1" w:styleId="ListLabel72">
    <w:name w:val="ListLabel 72"/>
    <w:qFormat/>
    <w:rPr>
      <w:b/>
      <w:i w:val="0"/>
      <w:sz w:val="24"/>
      <w:effect w:val="none"/>
    </w:rPr>
  </w:style>
  <w:style w:type="character" w:customStyle="1" w:styleId="ListLabel73">
    <w:name w:val="ListLabel 73"/>
    <w:qFormat/>
    <w:rPr>
      <w:rFonts w:ascii="Times" w:hAnsi="Times" w:cs="Courier New"/>
      <w:sz w:val="20"/>
    </w:rPr>
  </w:style>
  <w:style w:type="character" w:customStyle="1" w:styleId="ListLabel74">
    <w:name w:val="ListLabel 74"/>
    <w:qFormat/>
    <w:rPr>
      <w:rFonts w:cs="Courier New"/>
    </w:rPr>
  </w:style>
  <w:style w:type="character" w:customStyle="1" w:styleId="ListLabel75">
    <w:name w:val="ListLabel 75"/>
    <w:qFormat/>
    <w:rPr>
      <w:rFonts w:cs="Courier New"/>
    </w:rPr>
  </w:style>
  <w:style w:type="character" w:customStyle="1" w:styleId="ListLabel76">
    <w:name w:val="ListLabel 76"/>
    <w:qFormat/>
    <w:rPr>
      <w:rFonts w:asciiTheme="minorHAnsi" w:hAnsiTheme="minorHAnsi" w:cstheme="minorHAnsi"/>
      <w:b/>
      <w:i/>
      <w:iCs/>
      <w:sz w:val="20"/>
      <w:szCs w:val="20"/>
      <w:lang w:eastAsia="ja-JP"/>
    </w:rPr>
  </w:style>
  <w:style w:type="paragraph" w:customStyle="1" w:styleId="Heading">
    <w:name w:val="Heading"/>
    <w:basedOn w:val="Normal"/>
    <w:next w:val="BodyText"/>
    <w:qFormat/>
    <w:pPr>
      <w:keepNext/>
      <w:spacing w:before="240"/>
    </w:pPr>
    <w:rPr>
      <w:rFonts w:ascii="Liberation Sans" w:eastAsia="Noto Sans CJK SC" w:hAnsi="Liberation Sans" w:cs="Lohit Devanagari"/>
      <w:sz w:val="28"/>
      <w:szCs w:val="28"/>
    </w:rPr>
  </w:style>
  <w:style w:type="paragraph" w:styleId="BodyText">
    <w:name w:val="Body Text"/>
    <w:basedOn w:val="Normal"/>
    <w:link w:val="BodyTextChar"/>
    <w:rPr>
      <w:sz w:val="20"/>
      <w:szCs w:val="20"/>
    </w:rPr>
  </w:style>
  <w:style w:type="paragraph" w:styleId="List">
    <w:name w:val="List"/>
    <w:basedOn w:val="Normal"/>
    <w:pPr>
      <w:ind w:left="360" w:hanging="360"/>
    </w:pPr>
  </w:style>
  <w:style w:type="paragraph" w:styleId="Caption">
    <w:name w:val="caption"/>
    <w:basedOn w:val="Normal"/>
    <w:next w:val="Normal"/>
    <w:link w:val="CaptionChar"/>
    <w:qFormat/>
    <w:pPr>
      <w:jc w:val="center"/>
    </w:pPr>
    <w:rPr>
      <w:b/>
      <w:bCs/>
      <w:kern w:val="2"/>
      <w:sz w:val="20"/>
      <w:szCs w:val="20"/>
      <w:lang w:val="en-GB" w:eastAsia="zh-CN"/>
    </w:rPr>
  </w:style>
  <w:style w:type="paragraph" w:customStyle="1" w:styleId="Index">
    <w:name w:val="Index"/>
    <w:basedOn w:val="Normal"/>
    <w:qFormat/>
    <w:pPr>
      <w:suppressLineNumbers/>
    </w:pPr>
    <w:rPr>
      <w:rFonts w:cs="Lohit Devanagari"/>
    </w:rPr>
  </w:style>
  <w:style w:type="paragraph" w:styleId="ListBullet">
    <w:name w:val="List Bullet"/>
    <w:basedOn w:val="List"/>
    <w:qFormat/>
    <w:pPr>
      <w:spacing w:after="180"/>
      <w:ind w:left="568" w:hanging="284"/>
      <w:jc w:val="left"/>
    </w:pPr>
    <w:rPr>
      <w:sz w:val="20"/>
      <w:szCs w:val="20"/>
      <w:lang w:val="en-GB"/>
    </w:rPr>
  </w:style>
  <w:style w:type="paragraph" w:styleId="BodyText2">
    <w:name w:val="Body Text 2"/>
    <w:basedOn w:val="Normal"/>
    <w:qFormat/>
    <w:pPr>
      <w:spacing w:after="0"/>
      <w:jc w:val="left"/>
    </w:pPr>
    <w:rPr>
      <w:szCs w:val="20"/>
    </w:rPr>
  </w:style>
  <w:style w:type="paragraph" w:styleId="BalloonText">
    <w:name w:val="Balloon Text"/>
    <w:basedOn w:val="Normal"/>
    <w:semiHidden/>
    <w:qFormat/>
    <w:rPr>
      <w:rFonts w:ascii="Tahoma" w:hAnsi="Tahoma" w:cs="Tahoma"/>
      <w:sz w:val="16"/>
      <w:szCs w:val="16"/>
    </w:rPr>
  </w:style>
  <w:style w:type="paragraph" w:customStyle="1" w:styleId="References">
    <w:name w:val="References"/>
    <w:basedOn w:val="Normal"/>
    <w:qFormat/>
    <w:rsid w:val="00CF195E"/>
    <w:pPr>
      <w:spacing w:after="60"/>
    </w:pPr>
    <w:rPr>
      <w:sz w:val="20"/>
      <w:szCs w:val="16"/>
    </w:rPr>
  </w:style>
  <w:style w:type="paragraph" w:styleId="FootnoteText">
    <w:name w:val="footnote text"/>
    <w:basedOn w:val="Normal"/>
    <w:semiHidden/>
    <w:rPr>
      <w:sz w:val="20"/>
      <w:szCs w:val="20"/>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paragraph" w:styleId="Footer">
    <w:name w:val="footer"/>
    <w:basedOn w:val="Normal"/>
    <w:link w:val="FooterChar"/>
    <w:rsid w:val="00AB3F38"/>
    <w:pPr>
      <w:tabs>
        <w:tab w:val="center" w:pos="4680"/>
        <w:tab w:val="right" w:pos="9360"/>
      </w:tabs>
    </w:pPr>
    <w:rPr>
      <w:kern w:val="2"/>
      <w:lang w:val="en-GB" w:eastAsia="zh-CN"/>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qFormat/>
    <w:rsid w:val="00E539F9"/>
    <w:rPr>
      <w:rFonts w:ascii="SimSun" w:hAnsi="SimSun"/>
      <w:kern w:val="2"/>
      <w:sz w:val="18"/>
      <w:szCs w:val="18"/>
      <w:lang w:val="en-GB"/>
    </w:rPr>
  </w:style>
  <w:style w:type="paragraph" w:styleId="CommentText">
    <w:name w:val="annotation text"/>
    <w:basedOn w:val="Normal"/>
    <w:link w:val="CommentTextChar"/>
    <w:qFormat/>
    <w:rsid w:val="00971D66"/>
    <w:rPr>
      <w:kern w:val="2"/>
      <w:sz w:val="20"/>
      <w:szCs w:val="20"/>
      <w:lang w:val="en-GB"/>
    </w:rPr>
  </w:style>
  <w:style w:type="paragraph" w:styleId="CommentSubject">
    <w:name w:val="annotation subject"/>
    <w:basedOn w:val="CommentText"/>
    <w:link w:val="CommentSubjectChar"/>
    <w:qFormat/>
    <w:rsid w:val="00971D66"/>
    <w:rPr>
      <w:b/>
      <w:bC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
    <w:basedOn w:val="Normal"/>
    <w:link w:val="ListParagraphChar"/>
    <w:uiPriority w:val="34"/>
    <w:qFormat/>
    <w:rsid w:val="002426E9"/>
    <w:pPr>
      <w:ind w:firstLine="420"/>
    </w:pPr>
  </w:style>
  <w:style w:type="paragraph" w:styleId="Revision">
    <w:name w:val="Revision"/>
    <w:uiPriority w:val="99"/>
    <w:semiHidden/>
    <w:qFormat/>
    <w:rsid w:val="0024619A"/>
    <w:rPr>
      <w:sz w:val="22"/>
      <w:szCs w:val="22"/>
    </w:rPr>
  </w:style>
  <w:style w:type="paragraph" w:styleId="NormalWeb">
    <w:name w:val="Normal (Web)"/>
    <w:basedOn w:val="Normal"/>
    <w:uiPriority w:val="99"/>
    <w:unhideWhenUsed/>
    <w:qFormat/>
    <w:rsid w:val="008B1569"/>
    <w:pPr>
      <w:snapToGrid/>
      <w:spacing w:beforeAutospacing="1" w:afterAutospacing="1"/>
      <w:jc w:val="left"/>
    </w:pPr>
    <w:rPr>
      <w:rFonts w:eastAsia="Times New Roman"/>
      <w:sz w:val="24"/>
      <w:szCs w:val="24"/>
      <w:lang w:val="en-GB"/>
    </w:rPr>
  </w:style>
  <w:style w:type="paragraph" w:customStyle="1" w:styleId="LGTdoc">
    <w:name w:val="LGTdoc_본문"/>
    <w:basedOn w:val="Normal"/>
    <w:link w:val="LGTdocChar"/>
    <w:qFormat/>
    <w:rsid w:val="003F5C24"/>
    <w:pPr>
      <w:widowControl w:val="0"/>
      <w:spacing w:before="60" w:line="264" w:lineRule="auto"/>
      <w:ind w:left="851" w:hanging="284"/>
    </w:pPr>
    <w:rPr>
      <w:rFonts w:eastAsia="Batang"/>
      <w:kern w:val="2"/>
      <w:szCs w:val="24"/>
      <w:lang w:val="en-GB" w:eastAsia="x-none"/>
    </w:rPr>
  </w:style>
  <w:style w:type="paragraph" w:customStyle="1" w:styleId="B1">
    <w:name w:val="B1"/>
    <w:basedOn w:val="List"/>
    <w:link w:val="B1Zchn"/>
    <w:qFormat/>
    <w:rsid w:val="00AF7D68"/>
    <w:pPr>
      <w:snapToGrid/>
      <w:spacing w:after="180"/>
      <w:ind w:left="568" w:hanging="284"/>
      <w:jc w:val="left"/>
    </w:pPr>
    <w:rPr>
      <w:rFonts w:eastAsia="Malgun Gothic"/>
      <w:sz w:val="20"/>
      <w:szCs w:val="20"/>
      <w:lang w:val="en-GB"/>
    </w:rPr>
  </w:style>
  <w:style w:type="paragraph" w:customStyle="1" w:styleId="TH">
    <w:name w:val="TH"/>
    <w:basedOn w:val="Normal"/>
    <w:qFormat/>
    <w:rsid w:val="00AF7D68"/>
    <w:pPr>
      <w:keepNext/>
      <w:keepLines/>
      <w:snapToGrid/>
      <w:spacing w:before="60" w:after="180"/>
      <w:jc w:val="center"/>
    </w:pPr>
    <w:rPr>
      <w:rFonts w:ascii="Arial" w:eastAsia="Malgun Gothic" w:hAnsi="Arial"/>
      <w:b/>
      <w:sz w:val="20"/>
      <w:szCs w:val="20"/>
      <w:lang w:val="en-GB"/>
    </w:rPr>
  </w:style>
  <w:style w:type="paragraph" w:customStyle="1" w:styleId="TF">
    <w:name w:val="TF"/>
    <w:basedOn w:val="TH"/>
    <w:qFormat/>
    <w:rsid w:val="00AF7D68"/>
    <w:pPr>
      <w:keepNext w:val="0"/>
      <w:spacing w:before="0" w:after="240"/>
    </w:pPr>
  </w:style>
  <w:style w:type="paragraph" w:customStyle="1" w:styleId="Proposal">
    <w:name w:val="Proposal"/>
    <w:basedOn w:val="BodyText"/>
    <w:qFormat/>
    <w:rsid w:val="003D134D"/>
    <w:pPr>
      <w:tabs>
        <w:tab w:val="left" w:pos="1701"/>
      </w:tabs>
      <w:snapToGrid/>
      <w:spacing w:line="259" w:lineRule="auto"/>
      <w:ind w:left="1701" w:hanging="1701"/>
    </w:pPr>
    <w:rPr>
      <w:rFonts w:ascii="Arial" w:eastAsia="Times New Roman" w:hAnsi="Arial"/>
      <w:b/>
      <w:bCs/>
      <w:sz w:val="22"/>
      <w:szCs w:val="22"/>
      <w:lang w:val="fr-FR" w:eastAsia="zh-CN"/>
    </w:rPr>
  </w:style>
  <w:style w:type="paragraph" w:customStyle="1" w:styleId="TdocHeader2">
    <w:name w:val="Tdoc_Header_2"/>
    <w:basedOn w:val="Normal"/>
    <w:qFormat/>
    <w:rsid w:val="000E0ABA"/>
    <w:pPr>
      <w:widowControl w:val="0"/>
      <w:tabs>
        <w:tab w:val="left" w:pos="1701"/>
        <w:tab w:val="right" w:pos="9072"/>
        <w:tab w:val="right" w:pos="10206"/>
      </w:tabs>
      <w:snapToGrid/>
      <w:spacing w:after="0"/>
    </w:pPr>
    <w:rPr>
      <w:rFonts w:ascii="Arial" w:eastAsia="Batang" w:hAnsi="Arial"/>
      <w:b/>
      <w:sz w:val="18"/>
      <w:szCs w:val="20"/>
      <w:lang w:val="en-GB"/>
    </w:rPr>
  </w:style>
  <w:style w:type="table" w:styleId="TableGrid">
    <w:name w:val="Table Grid"/>
    <w:basedOn w:val="TableNormal"/>
    <w:rsid w:val="00097C99"/>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rsid w:val="000C4593"/>
    <w:pPr>
      <w:numPr>
        <w:numId w:val="18"/>
      </w:numPr>
      <w:snapToGrid/>
      <w:spacing w:line="259" w:lineRule="auto"/>
      <w:jc w:val="left"/>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file:///C:\Users\jechouxb01\AppData\Local\Microsoft\Windows\C:\Users\jechouxb01\R1-1907889.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2431</Words>
  <Characters>13862</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
  <cp:revision>1</cp:revision>
  <dcterms:created xsi:type="dcterms:W3CDTF">2020-04-10T13:23:00Z</dcterms:created>
  <dcterms:modified xsi:type="dcterms:W3CDTF">2020-04-10T13:28:00Z</dcterms:modified>
  <dc:language/>
</cp:coreProperties>
</file>